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6DEF36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sidRPr="5B98D2DA">
        <w:rPr>
          <w:noProof w:val="0"/>
          <w:sz w:val="24"/>
          <w:szCs w:val="24"/>
        </w:rPr>
        <w:t>20</w:t>
      </w:r>
      <w:r w:rsidR="3B25D32E" w:rsidRPr="5B98D2DA">
        <w:rPr>
          <w:noProof w:val="0"/>
          <w:sz w:val="24"/>
          <w:szCs w:val="24"/>
        </w:rPr>
        <w:t>09427</w:t>
      </w:r>
    </w:p>
    <w:p w14:paraId="11776FA6" w14:textId="0EB86463"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691B1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23B7">
        <w:rPr>
          <w:rFonts w:cs="Arial"/>
          <w:b/>
          <w:bCs/>
          <w:sz w:val="24"/>
        </w:rPr>
        <w:t>8</w:t>
      </w:r>
      <w:r>
        <w:rPr>
          <w:rFonts w:cs="Arial"/>
          <w:b/>
          <w:bCs/>
          <w:sz w:val="24"/>
          <w:lang w:eastAsia="ja-JP"/>
        </w:rPr>
        <w:t>.</w:t>
      </w:r>
      <w:r w:rsidR="007623B7">
        <w:rPr>
          <w:rFonts w:cs="Arial"/>
          <w:b/>
          <w:bCs/>
          <w:sz w:val="24"/>
          <w:lang w:eastAsia="ja-JP"/>
        </w:rPr>
        <w:t>13</w:t>
      </w:r>
      <w:r>
        <w:rPr>
          <w:rFonts w:cs="Arial"/>
          <w:b/>
          <w:bCs/>
          <w:sz w:val="24"/>
          <w:lang w:eastAsia="ja-JP"/>
        </w:rPr>
        <w:t>.</w:t>
      </w:r>
      <w:r w:rsidR="007623B7">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133045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0095" w:rsidRPr="00413416">
        <w:rPr>
          <w:rFonts w:ascii="Arial" w:hAnsi="Arial" w:cs="Arial"/>
          <w:b/>
          <w:bCs/>
          <w:sz w:val="24"/>
        </w:rPr>
        <w:t xml:space="preserve">Immediate </w:t>
      </w:r>
      <w:r w:rsidR="00EA34D4" w:rsidRPr="00413416">
        <w:rPr>
          <w:rFonts w:ascii="Arial" w:hAnsi="Arial" w:cs="Arial"/>
          <w:b/>
          <w:bCs/>
          <w:sz w:val="24"/>
        </w:rPr>
        <w:t>MDT</w:t>
      </w:r>
      <w:r w:rsidR="00CB593F">
        <w:rPr>
          <w:rFonts w:ascii="Arial" w:hAnsi="Arial" w:cs="Arial"/>
          <w:b/>
          <w:bCs/>
          <w:sz w:val="24"/>
        </w:rPr>
        <w:t xml:space="preserve"> </w:t>
      </w:r>
      <w:r w:rsidR="003378F0">
        <w:rPr>
          <w:rFonts w:ascii="Arial" w:hAnsi="Arial" w:cs="Arial"/>
          <w:b/>
          <w:bCs/>
          <w:sz w:val="24"/>
        </w:rPr>
        <w:t>Enhancements</w:t>
      </w:r>
      <w:r w:rsidR="00CB593F">
        <w:rPr>
          <w:rFonts w:ascii="Arial" w:hAnsi="Arial" w:cs="Arial"/>
          <w:b/>
          <w:bCs/>
          <w:sz w:val="24"/>
        </w:rPr>
        <w:t xml:space="preserve"> </w:t>
      </w:r>
    </w:p>
    <w:p w14:paraId="1F147C23" w14:textId="115364B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254C4">
        <w:rPr>
          <w:rFonts w:ascii="Arial" w:hAnsi="Arial" w:cs="Arial"/>
          <w:b/>
          <w:bCs/>
          <w:sz w:val="24"/>
        </w:rPr>
        <w:t>NR_ENDC_SON_MDT_enh-Core</w:t>
      </w:r>
      <w:r w:rsidRPr="00112F1A">
        <w:rPr>
          <w:rFonts w:ascii="Arial" w:hAnsi="Arial" w:cs="Arial"/>
          <w:b/>
          <w:bCs/>
          <w:sz w:val="24"/>
        </w:rPr>
        <w:t xml:space="preserve"> </w:t>
      </w:r>
      <w:r>
        <w:rPr>
          <w:rFonts w:ascii="Arial" w:hAnsi="Arial" w:cs="Arial"/>
          <w:b/>
          <w:bCs/>
          <w:sz w:val="24"/>
        </w:rPr>
        <w:t xml:space="preserve">- Release </w:t>
      </w:r>
      <w:r w:rsidR="004C6534">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5B288D" w14:textId="15D26E6F" w:rsidR="00C11293" w:rsidRDefault="009A3082" w:rsidP="00A209D6">
      <w:r>
        <w:rPr>
          <w:lang w:eastAsia="ja-JP"/>
        </w:rPr>
        <w:t>A</w:t>
      </w:r>
      <w:r w:rsidR="005E3A25">
        <w:rPr>
          <w:lang w:eastAsia="ja-JP"/>
        </w:rPr>
        <w:t>n initial</w:t>
      </w:r>
      <w:r>
        <w:rPr>
          <w:lang w:eastAsia="ja-JP"/>
        </w:rPr>
        <w:t xml:space="preserve"> set of </w:t>
      </w:r>
      <w:r w:rsidR="005E3A25">
        <w:rPr>
          <w:lang w:eastAsia="ja-JP"/>
        </w:rPr>
        <w:t>targeted</w:t>
      </w:r>
      <w:r>
        <w:rPr>
          <w:lang w:eastAsia="ja-JP"/>
        </w:rPr>
        <w:t xml:space="preserve"> Rel-17 enhancement </w:t>
      </w:r>
      <w:r w:rsidR="001738FE">
        <w:rPr>
          <w:lang w:eastAsia="ja-JP"/>
        </w:rPr>
        <w:t xml:space="preserve">for SON/MDT </w:t>
      </w:r>
      <w:r>
        <w:rPr>
          <w:lang w:eastAsia="ja-JP"/>
        </w:rPr>
        <w:t>has been discuss</w:t>
      </w:r>
      <w:r w:rsidR="005E3A25">
        <w:rPr>
          <w:lang w:eastAsia="ja-JP"/>
        </w:rPr>
        <w:t>ed</w:t>
      </w:r>
      <w:r>
        <w:rPr>
          <w:lang w:eastAsia="ja-JP"/>
        </w:rPr>
        <w:t xml:space="preserve"> during </w:t>
      </w:r>
      <w:r w:rsidRPr="00630280">
        <w:rPr>
          <w:lang w:eastAsia="ja-JP"/>
        </w:rPr>
        <w:t>RAN WG2 Meeting #111e</w:t>
      </w:r>
      <w:r w:rsidR="000D3461">
        <w:rPr>
          <w:lang w:eastAsia="ja-JP"/>
        </w:rPr>
        <w:t>. Therein</w:t>
      </w:r>
      <w:r w:rsidR="00765A30">
        <w:rPr>
          <w:lang w:eastAsia="ja-JP"/>
        </w:rPr>
        <w:t>, i</w:t>
      </w:r>
      <w:r w:rsidR="00C11293" w:rsidRPr="00066525">
        <w:t xml:space="preserve">n </w:t>
      </w:r>
      <w:hyperlink r:id="rId12" w:history="1">
        <w:r w:rsidR="00C11293" w:rsidRPr="00066525">
          <w:rPr>
            <w:rStyle w:val="Hyperlink"/>
            <w:lang w:val="en-US"/>
          </w:rPr>
          <w:t>R2-2007667</w:t>
        </w:r>
      </w:hyperlink>
      <w:r w:rsidR="00C11293" w:rsidRPr="00066525">
        <w:rPr>
          <w:lang w:val="en-US"/>
        </w:rPr>
        <w:t xml:space="preserve">, </w:t>
      </w:r>
      <w:r w:rsidR="00C11293" w:rsidRPr="00066525">
        <w:t>it was proposed</w:t>
      </w:r>
      <w:r w:rsidR="00C11293">
        <w:t xml:space="preserve"> to clarify the propagation of the configuration for some MDT measurements.</w:t>
      </w:r>
      <w:r w:rsidR="00D60B83">
        <w:t xml:space="preserve"> </w:t>
      </w:r>
      <w:r w:rsidR="00C11293">
        <w:t xml:space="preserve">In this contribution we </w:t>
      </w:r>
      <w:r w:rsidR="00D60B83">
        <w:t>elaborate further</w:t>
      </w:r>
      <w:r w:rsidR="00C11293">
        <w:t xml:space="preserve"> a way forward for the </w:t>
      </w:r>
      <w:r w:rsidR="00D60B83">
        <w:t xml:space="preserve">Immediate MDT </w:t>
      </w:r>
      <w:r w:rsidR="00C11293">
        <w:t xml:space="preserve">configuration </w:t>
      </w:r>
      <w:r w:rsidR="00D60B83">
        <w:t xml:space="preserve">for the RAN nodes </w:t>
      </w:r>
      <w:r w:rsidR="00C11293">
        <w:t>but also for the measurement reporting for MDT.</w:t>
      </w:r>
      <w:r w:rsidR="001738FE">
        <w:t xml:space="preserve"> </w:t>
      </w:r>
    </w:p>
    <w:p w14:paraId="5CDE6FDA" w14:textId="21A19B65" w:rsidR="001738FE" w:rsidRDefault="001738FE" w:rsidP="00A209D6">
      <w:r>
        <w:t xml:space="preserve">In addition, we </w:t>
      </w:r>
      <w:r w:rsidR="00462261">
        <w:t xml:space="preserve">identify </w:t>
      </w:r>
      <w:r w:rsidR="00AC6A7F">
        <w:t xml:space="preserve">a need to find </w:t>
      </w:r>
      <w:r w:rsidR="00462261">
        <w:rPr>
          <w:lang w:eastAsia="ja-JP"/>
        </w:rPr>
        <w:t>interference spots where only a inter-frequency or inter-RAT handover helps to avoid RLF and connection loss</w:t>
      </w:r>
      <w:r w:rsidR="00FA0F6E">
        <w:rPr>
          <w:lang w:eastAsia="ja-JP"/>
        </w:rPr>
        <w:t xml:space="preserve">, and propose to </w:t>
      </w:r>
      <w:r w:rsidR="00F72D9B">
        <w:rPr>
          <w:lang w:eastAsia="ja-JP"/>
        </w:rPr>
        <w:t>address the problem in Rel-17.</w:t>
      </w:r>
    </w:p>
    <w:p w14:paraId="2BBFF540" w14:textId="15F36DF7" w:rsidR="00A209D6" w:rsidRPr="006E13D1" w:rsidRDefault="00A209D6" w:rsidP="00A209D6">
      <w:pPr>
        <w:pStyle w:val="Heading1"/>
      </w:pPr>
      <w:r w:rsidRPr="006E13D1">
        <w:t>2</w:t>
      </w:r>
      <w:r w:rsidRPr="006E13D1">
        <w:tab/>
      </w:r>
      <w:r w:rsidR="00480095">
        <w:t xml:space="preserve">Immediate </w:t>
      </w:r>
      <w:r w:rsidR="00C11293">
        <w:t>MDT configuration</w:t>
      </w:r>
      <w:r w:rsidR="00A43BCB">
        <w:t xml:space="preserve"> for </w:t>
      </w:r>
      <w:r w:rsidR="00544504">
        <w:t xml:space="preserve">L2 Measurements </w:t>
      </w:r>
      <w:r w:rsidR="00AA3D88" w:rsidRPr="00BB330C">
        <w:rPr>
          <w:lang w:eastAsia="zh-TW"/>
        </w:rPr>
        <w:t>M5 ~ M7</w:t>
      </w:r>
      <w:r w:rsidR="00AA3D88">
        <w:t xml:space="preserve"> </w:t>
      </w:r>
      <w:r w:rsidR="00480095">
        <w:t>in DC</w:t>
      </w:r>
    </w:p>
    <w:p w14:paraId="649E3B80" w14:textId="5975C061" w:rsidR="004B2B0D" w:rsidRDefault="009B577C" w:rsidP="00AA3D88">
      <w:pPr>
        <w:pStyle w:val="Heading2"/>
      </w:pPr>
      <w:r>
        <w:t>2.1</w:t>
      </w:r>
      <w:r>
        <w:tab/>
      </w:r>
      <w:r w:rsidR="00AA3D88">
        <w:t>Current specifications</w:t>
      </w:r>
      <w:r>
        <w:t xml:space="preserve"> </w:t>
      </w:r>
    </w:p>
    <w:p w14:paraId="49D07F4D" w14:textId="368E4A98" w:rsidR="00AF441B" w:rsidRDefault="00347AC0" w:rsidP="00A209D6">
      <w:r>
        <w:t>TS 37.320 defines the following measurements:</w:t>
      </w:r>
    </w:p>
    <w:tbl>
      <w:tblPr>
        <w:tblStyle w:val="TableGrid"/>
        <w:tblW w:w="0" w:type="auto"/>
        <w:tblLook w:val="04A0" w:firstRow="1" w:lastRow="0" w:firstColumn="1" w:lastColumn="0" w:noHBand="0" w:noVBand="1"/>
      </w:tblPr>
      <w:tblGrid>
        <w:gridCol w:w="9631"/>
      </w:tblGrid>
      <w:tr w:rsidR="00347AC0" w14:paraId="248590B7" w14:textId="77777777" w:rsidTr="00347AC0">
        <w:tc>
          <w:tcPr>
            <w:tcW w:w="9631" w:type="dxa"/>
          </w:tcPr>
          <w:p w14:paraId="097ED4C1" w14:textId="2909824C" w:rsidR="00347AC0" w:rsidRPr="00347AC0" w:rsidRDefault="00347AC0" w:rsidP="00347AC0">
            <w:pPr>
              <w:ind w:left="568" w:hanging="284"/>
              <w:rPr>
                <w:lang w:eastAsia="zh-CN"/>
              </w:rPr>
            </w:pPr>
            <w:r w:rsidRPr="00347AC0">
              <w:rPr>
                <w:lang w:eastAsia="zh-CN"/>
              </w:rPr>
              <w:t>-</w:t>
            </w:r>
            <w:r w:rsidRPr="00347AC0">
              <w:rPr>
                <w:lang w:eastAsia="zh-CN"/>
              </w:rPr>
              <w:tab/>
              <w:t>M5: Average UE throug</w:t>
            </w:r>
            <w:r w:rsidR="00066525">
              <w:rPr>
                <w:lang w:eastAsia="zh-CN"/>
              </w:rPr>
              <w:t>hp</w:t>
            </w:r>
            <w:r w:rsidRPr="00347AC0">
              <w:rPr>
                <w:lang w:eastAsia="zh-CN"/>
              </w:rPr>
              <w:t>ut measurement separately for DL and UL, per DRB per UE and per UE for the DL, per DRB per UE and per UE for the UL, by gNB, see TS 28.552 [17]</w:t>
            </w:r>
          </w:p>
          <w:p w14:paraId="61B497D3" w14:textId="77777777" w:rsidR="00347AC0" w:rsidRPr="00347AC0" w:rsidRDefault="00347AC0" w:rsidP="00347AC0">
            <w:pPr>
              <w:ind w:left="568" w:hanging="284"/>
              <w:rPr>
                <w:lang w:eastAsia="zh-CN"/>
              </w:rPr>
            </w:pPr>
            <w:r w:rsidRPr="00347AC0">
              <w:rPr>
                <w:lang w:eastAsia="zh-CN"/>
              </w:rPr>
              <w:t>⁻</w:t>
            </w:r>
            <w:r w:rsidRPr="00347AC0">
              <w:rPr>
                <w:lang w:eastAsia="zh-CN"/>
              </w:rPr>
              <w:tab/>
              <w:t xml:space="preserve">M6: Packet Delay measurement separately for DL and UL, </w:t>
            </w:r>
            <w:r w:rsidRPr="00347AC0">
              <w:rPr>
                <w:lang w:eastAsia="ko-KR"/>
              </w:rPr>
              <w:t>per DRB per UE</w:t>
            </w:r>
            <w:r w:rsidRPr="00347AC0">
              <w:rPr>
                <w:lang w:eastAsia="zh-CN"/>
              </w:rPr>
              <w:t>, TS 28.552 [17] and TS 38.314 [18]</w:t>
            </w:r>
          </w:p>
          <w:p w14:paraId="4076B188" w14:textId="17431B41" w:rsidR="00347AC0" w:rsidRDefault="00347AC0" w:rsidP="00AA3D88">
            <w:pPr>
              <w:ind w:left="568" w:hanging="284"/>
            </w:pPr>
            <w:r w:rsidRPr="00347AC0">
              <w:rPr>
                <w:lang w:eastAsia="zh-CN"/>
              </w:rPr>
              <w:t>⁻</w:t>
            </w:r>
            <w:r w:rsidRPr="00347AC0">
              <w:rPr>
                <w:lang w:eastAsia="zh-CN"/>
              </w:rPr>
              <w:tab/>
              <w:t xml:space="preserve">M7: Packet loss rate measurement separately for DL and UL, </w:t>
            </w:r>
            <w:r w:rsidRPr="00347AC0">
              <w:rPr>
                <w:lang w:eastAsia="ko-KR"/>
              </w:rPr>
              <w:t xml:space="preserve">per DRB per UE, </w:t>
            </w:r>
            <w:r w:rsidRPr="00347AC0">
              <w:rPr>
                <w:lang w:eastAsia="zh-CN"/>
              </w:rPr>
              <w:t>TS 28.552 [17] and TS 38.314 [18]</w:t>
            </w:r>
          </w:p>
        </w:tc>
      </w:tr>
    </w:tbl>
    <w:p w14:paraId="37305437" w14:textId="625DDFB0" w:rsidR="00AF441B" w:rsidRDefault="00AF441B" w:rsidP="00A209D6"/>
    <w:p w14:paraId="465B5B6C" w14:textId="3A81BE26" w:rsidR="00AA3D88" w:rsidRDefault="00AA3D88" w:rsidP="00A209D6">
      <w:r>
        <w:t>But have the following restriction</w:t>
      </w:r>
      <w:r w:rsidR="00E05689">
        <w:t xml:space="preserve"> is in TS 37.320:</w:t>
      </w:r>
    </w:p>
    <w:tbl>
      <w:tblPr>
        <w:tblStyle w:val="TableGrid"/>
        <w:tblW w:w="0" w:type="auto"/>
        <w:tblLook w:val="04A0" w:firstRow="1" w:lastRow="0" w:firstColumn="1" w:lastColumn="0" w:noHBand="0" w:noVBand="1"/>
      </w:tblPr>
      <w:tblGrid>
        <w:gridCol w:w="9631"/>
      </w:tblGrid>
      <w:tr w:rsidR="00AA3D88" w14:paraId="5AE6A166" w14:textId="77777777" w:rsidTr="00AA3D88">
        <w:tc>
          <w:tcPr>
            <w:tcW w:w="9631" w:type="dxa"/>
          </w:tcPr>
          <w:p w14:paraId="7B7BE3FF" w14:textId="258DDC47" w:rsidR="00AA3D88" w:rsidRDefault="00AA3D88" w:rsidP="00AA3D88">
            <w:pPr>
              <w:pStyle w:val="NO"/>
            </w:pPr>
            <w:r w:rsidRPr="00BB330C">
              <w:rPr>
                <w:lang w:eastAsia="zh-TW"/>
              </w:rPr>
              <w:t>NOTE 1:</w:t>
            </w:r>
            <w:r w:rsidRPr="00BB330C">
              <w:rPr>
                <w:lang w:eastAsia="zh-TW"/>
              </w:rPr>
              <w:tab/>
              <w:t>M5 ~ M7 do not apply to EN-DC SN terminated MCG/split bearers and MN terminated SCG/split bearers in Rel-16.</w:t>
            </w:r>
          </w:p>
        </w:tc>
      </w:tr>
    </w:tbl>
    <w:p w14:paraId="5E693D02" w14:textId="77777777" w:rsidR="00A337D2" w:rsidRDefault="00A337D2" w:rsidP="00A209D6"/>
    <w:p w14:paraId="542E529E" w14:textId="2436D440" w:rsidR="00AA3D88" w:rsidRDefault="00A337D2" w:rsidP="00A209D6">
      <w:r>
        <w:t xml:space="preserve">In the later part of this contribution, </w:t>
      </w:r>
      <w:r w:rsidR="00E05689">
        <w:t>we go through each of these measurements.</w:t>
      </w:r>
    </w:p>
    <w:p w14:paraId="383AE813" w14:textId="77777777" w:rsidR="00A337D2" w:rsidRDefault="00A337D2" w:rsidP="00A209D6"/>
    <w:p w14:paraId="26D83C4A" w14:textId="542A3758" w:rsidR="004B2B0D" w:rsidRDefault="004B2B0D" w:rsidP="00E05689">
      <w:pPr>
        <w:pStyle w:val="Heading2"/>
      </w:pPr>
      <w:r>
        <w:t>2.</w:t>
      </w:r>
      <w:r w:rsidR="00E05689">
        <w:t>2</w:t>
      </w:r>
      <w:r w:rsidR="00E05689">
        <w:tab/>
      </w:r>
      <w:r>
        <w:t>M5 - Throughput</w:t>
      </w:r>
    </w:p>
    <w:p w14:paraId="61E7BAB7" w14:textId="512A90C9" w:rsidR="00066525" w:rsidRDefault="00066525" w:rsidP="00A209D6">
      <w:r>
        <w:t>M5 Measurement refers to the following measurement in TS 28.552</w:t>
      </w:r>
    </w:p>
    <w:p w14:paraId="56B08D43" w14:textId="6D93B1F8" w:rsidR="00066525" w:rsidRDefault="00066525" w:rsidP="00066525">
      <w:pPr>
        <w:pStyle w:val="B1"/>
      </w:pPr>
      <w:r>
        <w:t>-</w:t>
      </w:r>
      <w:r>
        <w:tab/>
      </w:r>
      <w:r w:rsidRPr="00066525">
        <w:t>5.1.1.3.1</w:t>
      </w:r>
      <w:r w:rsidRPr="00066525">
        <w:tab/>
        <w:t>Average DL UE throughput in gNB</w:t>
      </w:r>
    </w:p>
    <w:p w14:paraId="3515E718" w14:textId="0D7BAF9A" w:rsidR="00066525" w:rsidRDefault="00066525" w:rsidP="00066525">
      <w:pPr>
        <w:pStyle w:val="B1"/>
      </w:pPr>
      <w:r>
        <w:t>-</w:t>
      </w:r>
      <w:r>
        <w:tab/>
      </w:r>
      <w:r w:rsidRPr="00066525">
        <w:t>5.1.1.3.3</w:t>
      </w:r>
      <w:r w:rsidRPr="00066525">
        <w:tab/>
        <w:t>Average UL UE throughput in gNB</w:t>
      </w:r>
    </w:p>
    <w:p w14:paraId="221B399F" w14:textId="348DEE7D" w:rsidR="00066525" w:rsidRPr="00066525" w:rsidRDefault="00066525" w:rsidP="00066525">
      <w:r>
        <w:lastRenderedPageBreak/>
        <w:t>The measure</w:t>
      </w:r>
      <w:r w:rsidR="00D63AB7">
        <w:t xml:space="preserve">ment collected in gNB-DU </w:t>
      </w:r>
      <w:r w:rsidR="00094CA7">
        <w:t xml:space="preserve">is then sent to </w:t>
      </w:r>
      <w:r w:rsidR="00824FD1" w:rsidRPr="00824FD1">
        <w:t>MDT Data Consumer</w:t>
      </w:r>
      <w:r w:rsidR="00094CA7">
        <w:t xml:space="preserve"> the collecting entity.</w:t>
      </w:r>
    </w:p>
    <w:p w14:paraId="08D54D8C" w14:textId="250BAF14" w:rsidR="00A43BCB" w:rsidRDefault="00824FD1" w:rsidP="00A43BCB">
      <w:pPr>
        <w:keepNext/>
        <w:jc w:val="center"/>
      </w:pPr>
      <w:r>
        <w:object w:dxaOrig="7410" w:dyaOrig="6840" w14:anchorId="3D545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85pt;height:164.15pt" o:ole="">
            <v:imagedata r:id="rId13" o:title=""/>
          </v:shape>
          <o:OLEObject Type="Embed" ProgID="Visio.Drawing.15" ShapeID="_x0000_i1025" DrawAspect="Content" ObjectID="_1664920193" r:id="rId14"/>
        </w:object>
      </w:r>
    </w:p>
    <w:p w14:paraId="4B247E78" w14:textId="3CC8ABA9" w:rsidR="00066525" w:rsidRDefault="00A43BCB" w:rsidP="00A43BCB">
      <w:pPr>
        <w:pStyle w:val="Caption"/>
        <w:jc w:val="center"/>
      </w:pPr>
      <w:bookmarkStart w:id="0" w:name="_Ref52824553"/>
      <w:r>
        <w:t xml:space="preserve">Figure </w:t>
      </w:r>
      <w:r w:rsidR="00C12454">
        <w:fldChar w:fldCharType="begin"/>
      </w:r>
      <w:r w:rsidR="00C12454">
        <w:instrText xml:space="preserve"> SEQ Figure \* ARABIC </w:instrText>
      </w:r>
      <w:r w:rsidR="00C12454">
        <w:fldChar w:fldCharType="separate"/>
      </w:r>
      <w:r w:rsidR="00821D05">
        <w:rPr>
          <w:noProof/>
        </w:rPr>
        <w:t>1</w:t>
      </w:r>
      <w:r w:rsidR="00C12454">
        <w:rPr>
          <w:noProof/>
        </w:rPr>
        <w:fldChar w:fldCharType="end"/>
      </w:r>
      <w:bookmarkEnd w:id="0"/>
      <w:r>
        <w:t>: M5 Measurement Configuration</w:t>
      </w:r>
    </w:p>
    <w:p w14:paraId="75292BB3" w14:textId="4402FD63" w:rsidR="00E05689" w:rsidRDefault="00E05689" w:rsidP="00B472E6">
      <w:r>
        <w:t xml:space="preserve">As shown in </w:t>
      </w:r>
      <w:r>
        <w:fldChar w:fldCharType="begin"/>
      </w:r>
      <w:r>
        <w:instrText xml:space="preserve"> REF _Ref52824553 \h </w:instrText>
      </w:r>
      <w:r>
        <w:fldChar w:fldCharType="separate"/>
      </w:r>
      <w:r>
        <w:t xml:space="preserve">Figure </w:t>
      </w:r>
      <w:r>
        <w:rPr>
          <w:noProof/>
        </w:rPr>
        <w:t>1</w:t>
      </w:r>
      <w:r>
        <w:fldChar w:fldCharType="end"/>
      </w:r>
      <w:r>
        <w:t xml:space="preserve">, when the measurement configuration is received from AMF, gNB-CU-CP transfers it to gNB-DU. The measurements are performed, and the report is sent to </w:t>
      </w:r>
      <w:r w:rsidR="00824FD1">
        <w:t>MDT Data Consumer</w:t>
      </w:r>
      <w:r>
        <w:t>.</w:t>
      </w:r>
    </w:p>
    <w:p w14:paraId="37DEA143" w14:textId="1266231B" w:rsidR="002415D1" w:rsidRDefault="002415D1" w:rsidP="002415D1">
      <w:pPr>
        <w:rPr>
          <w:b/>
          <w:bCs/>
        </w:rPr>
      </w:pPr>
      <w:r w:rsidRPr="00066525">
        <w:rPr>
          <w:b/>
          <w:bCs/>
        </w:rPr>
        <w:t xml:space="preserve">Observation 1: </w:t>
      </w:r>
      <w:r w:rsidRPr="00413416">
        <w:t>When M5 measurement is configured via signalling, the configuration is received by gNB-CU from Core network and forwarded to gNB-DU.</w:t>
      </w:r>
    </w:p>
    <w:p w14:paraId="23071980" w14:textId="6EA07E56" w:rsidR="00B472E6" w:rsidRPr="00B472E6" w:rsidRDefault="00B472E6" w:rsidP="00B472E6">
      <w:r>
        <w:t xml:space="preserve">NOTE: We call </w:t>
      </w:r>
      <w:r w:rsidR="003367B3">
        <w:t>“</w:t>
      </w:r>
      <w:r w:rsidR="00824FD1">
        <w:t>MDT Data Consumer</w:t>
      </w:r>
      <w:r w:rsidR="003367B3">
        <w:t xml:space="preserve">” </w:t>
      </w:r>
      <w:r>
        <w:t xml:space="preserve">the entity that will receive the MDT / Trace </w:t>
      </w:r>
      <w:r w:rsidR="00E05689">
        <w:t>report</w:t>
      </w:r>
      <w:r w:rsidR="003367B3">
        <w:t xml:space="preserve">. It could be TCE as in LTE or another function </w:t>
      </w:r>
      <w:r>
        <w:t>when SBMA is used.</w:t>
      </w:r>
    </w:p>
    <w:p w14:paraId="48D575C1" w14:textId="0CD691B0" w:rsidR="00357A37" w:rsidRDefault="00357A37" w:rsidP="00E05689">
      <w:pPr>
        <w:pStyle w:val="Heading2"/>
      </w:pPr>
      <w:r>
        <w:t>2.</w:t>
      </w:r>
      <w:r w:rsidR="00E05689">
        <w:t>3</w:t>
      </w:r>
      <w:r w:rsidR="00E05689">
        <w:tab/>
      </w:r>
      <w:r>
        <w:t>M6 - Delay</w:t>
      </w:r>
    </w:p>
    <w:p w14:paraId="08C566D3" w14:textId="1D22867E" w:rsidR="00192768" w:rsidRDefault="00C01DAC" w:rsidP="00066525">
      <w:r>
        <w:t xml:space="preserve">The way to calculate delay measurement </w:t>
      </w:r>
      <w:r w:rsidR="00E05689">
        <w:t xml:space="preserve">for MDT </w:t>
      </w:r>
      <w:r>
        <w:t>is defined for NR in TS 38.314.</w:t>
      </w:r>
      <w:r w:rsidR="002415D1">
        <w:t xml:space="preserve"> I</w:t>
      </w:r>
      <w:r w:rsidR="00EA4F2C">
        <w:t>n this case, some measurements are performed in CU</w:t>
      </w:r>
      <w:r w:rsidR="00192768">
        <w:t>-UP</w:t>
      </w:r>
      <w:r w:rsidR="00EA4F2C">
        <w:t xml:space="preserve">, some in DU and </w:t>
      </w:r>
      <w:r w:rsidR="00192768">
        <w:t xml:space="preserve">some in </w:t>
      </w:r>
      <w:r w:rsidR="002415D1">
        <w:t>UE</w:t>
      </w:r>
      <w:r w:rsidR="00192768">
        <w:t>.</w:t>
      </w:r>
      <w:r w:rsidR="002415D1">
        <w:t xml:space="preserve"> </w:t>
      </w:r>
      <w:r w:rsidR="00192768">
        <w:t>The same observation</w:t>
      </w:r>
      <w:r w:rsidR="002415D1">
        <w:t>s</w:t>
      </w:r>
      <w:r w:rsidR="00192768">
        <w:t xml:space="preserve"> </w:t>
      </w:r>
      <w:r w:rsidR="002415D1">
        <w:t xml:space="preserve">as M5 </w:t>
      </w:r>
      <w:r w:rsidR="00192768">
        <w:t>can be made about the configuration and measurement reporting:</w:t>
      </w:r>
    </w:p>
    <w:p w14:paraId="2428A69E" w14:textId="38114D22" w:rsidR="00192768" w:rsidRPr="00192768" w:rsidRDefault="00192768" w:rsidP="00192768">
      <w:r>
        <w:t xml:space="preserve">The collected measurements from DU and CU-CP are sent directly to the </w:t>
      </w:r>
      <w:r w:rsidR="00824FD1">
        <w:t>MDT Data Consumer</w:t>
      </w:r>
      <w:r w:rsidR="003367B3">
        <w:t xml:space="preserve">. Then </w:t>
      </w:r>
      <w:r w:rsidR="00A8343C">
        <w:t xml:space="preserve">the function in charge of calculation derives the </w:t>
      </w:r>
      <w:r>
        <w:t>total delay.</w:t>
      </w:r>
    </w:p>
    <w:p w14:paraId="48DB877C" w14:textId="02F05904" w:rsidR="00192768" w:rsidRDefault="00192768" w:rsidP="00192768">
      <w:r>
        <w:t xml:space="preserve">The measurements </w:t>
      </w:r>
      <w:r w:rsidR="00824FD1">
        <w:t xml:space="preserve">performed in the </w:t>
      </w:r>
      <w:r>
        <w:t xml:space="preserve">in UE are collected by CU-CP before being sent to </w:t>
      </w:r>
      <w:r w:rsidR="00824FD1">
        <w:t>MDT Data Consumer</w:t>
      </w:r>
      <w:r>
        <w:t>.</w:t>
      </w:r>
    </w:p>
    <w:p w14:paraId="3B284027" w14:textId="2120E845" w:rsidR="00294750" w:rsidRDefault="00294750" w:rsidP="00192768"/>
    <w:p w14:paraId="71D64E82" w14:textId="4D062D76" w:rsidR="00294750" w:rsidRDefault="00413416" w:rsidP="00294750">
      <w:pPr>
        <w:keepNext/>
        <w:jc w:val="center"/>
      </w:pPr>
      <w:r>
        <w:object w:dxaOrig="13050" w:dyaOrig="7560" w14:anchorId="2B14BBC4">
          <v:shape id="_x0000_i1065" type="#_x0000_t75" style="width:311.25pt;height:179.95pt" o:ole="">
            <v:imagedata r:id="rId15" o:title=""/>
          </v:shape>
          <o:OLEObject Type="Embed" ProgID="Visio.Drawing.15" ShapeID="_x0000_i1065" DrawAspect="Content" ObjectID="_1664920194" r:id="rId16"/>
        </w:object>
      </w:r>
      <w:bookmarkStart w:id="1" w:name="_GoBack"/>
      <w:bookmarkEnd w:id="1"/>
    </w:p>
    <w:p w14:paraId="067B7457" w14:textId="467014F9" w:rsidR="00294750" w:rsidRDefault="00294750" w:rsidP="00294750">
      <w:pPr>
        <w:pStyle w:val="Caption"/>
        <w:jc w:val="center"/>
      </w:pPr>
      <w:bookmarkStart w:id="2" w:name="_Ref52825766"/>
      <w:r>
        <w:t xml:space="preserve">Figure </w:t>
      </w:r>
      <w:r w:rsidR="00C12454">
        <w:fldChar w:fldCharType="begin"/>
      </w:r>
      <w:r w:rsidR="00C12454">
        <w:instrText xml:space="preserve"> SEQ Figure \* ARABIC </w:instrText>
      </w:r>
      <w:r w:rsidR="00C12454">
        <w:fldChar w:fldCharType="separate"/>
      </w:r>
      <w:r w:rsidR="00821D05">
        <w:rPr>
          <w:noProof/>
        </w:rPr>
        <w:t>2</w:t>
      </w:r>
      <w:r w:rsidR="00C12454">
        <w:rPr>
          <w:noProof/>
        </w:rPr>
        <w:fldChar w:fldCharType="end"/>
      </w:r>
      <w:bookmarkEnd w:id="2"/>
      <w:r>
        <w:t>: M6 Measurement – Signalling based</w:t>
      </w:r>
    </w:p>
    <w:p w14:paraId="65DA05CF" w14:textId="59939CFB" w:rsidR="002415D1" w:rsidRDefault="002415D1" w:rsidP="002415D1">
      <w:r>
        <w:t xml:space="preserve">As shown in </w:t>
      </w:r>
      <w:r>
        <w:fldChar w:fldCharType="begin"/>
      </w:r>
      <w:r>
        <w:instrText xml:space="preserve"> REF _Ref52825766 \h </w:instrText>
      </w:r>
      <w:r>
        <w:fldChar w:fldCharType="separate"/>
      </w:r>
      <w:r>
        <w:t xml:space="preserve">Figure </w:t>
      </w:r>
      <w:r>
        <w:rPr>
          <w:noProof/>
        </w:rPr>
        <w:t>2</w:t>
      </w:r>
      <w:r>
        <w:fldChar w:fldCharType="end"/>
      </w:r>
      <w:r>
        <w:fldChar w:fldCharType="begin"/>
      </w:r>
      <w:r>
        <w:instrText xml:space="preserve"> REF _Ref52824553 \h </w:instrText>
      </w:r>
      <w:r>
        <w:fldChar w:fldCharType="end"/>
      </w:r>
      <w:r>
        <w:t xml:space="preserve">, when the measurement configuration is received from AMF, gNB-CU-CP transfers it to gNB-DU, gNB-CU-UP and configures the UE . The measurements are performed, and the report is sent to </w:t>
      </w:r>
      <w:r w:rsidR="00824FD1">
        <w:t>MDT Data Consumer</w:t>
      </w:r>
      <w:r>
        <w:t>.</w:t>
      </w:r>
    </w:p>
    <w:p w14:paraId="3397ABD5" w14:textId="77777777" w:rsidR="000D38D9" w:rsidRDefault="000D38D9" w:rsidP="000D38D9">
      <w:pPr>
        <w:rPr>
          <w:b/>
          <w:bCs/>
        </w:rPr>
      </w:pPr>
      <w:r w:rsidRPr="00066525">
        <w:rPr>
          <w:b/>
          <w:bCs/>
        </w:rPr>
        <w:lastRenderedPageBreak/>
        <w:t xml:space="preserve">Observation </w:t>
      </w:r>
      <w:r>
        <w:rPr>
          <w:b/>
          <w:bCs/>
        </w:rPr>
        <w:t>2</w:t>
      </w:r>
      <w:r w:rsidRPr="00066525">
        <w:rPr>
          <w:b/>
          <w:bCs/>
        </w:rPr>
        <w:t xml:space="preserve">: </w:t>
      </w:r>
      <w:r w:rsidRPr="00413416">
        <w:t>When M6 measurement is configured via signalling, the configuration is received by gNB-CU from Core network and forwarded to the relevant other nodes and UE.</w:t>
      </w:r>
    </w:p>
    <w:p w14:paraId="0B5A87B4" w14:textId="77777777" w:rsidR="00294750" w:rsidRPr="00192768" w:rsidRDefault="00294750" w:rsidP="00192768"/>
    <w:p w14:paraId="48EC0188" w14:textId="5A531296" w:rsidR="00192768" w:rsidRDefault="00192768" w:rsidP="000D38D9">
      <w:pPr>
        <w:pStyle w:val="Heading2"/>
      </w:pPr>
      <w:r>
        <w:t>2.</w:t>
      </w:r>
      <w:r w:rsidR="000D38D9">
        <w:t>3</w:t>
      </w:r>
      <w:r w:rsidR="000D38D9">
        <w:tab/>
      </w:r>
      <w:r>
        <w:t xml:space="preserve">M7 </w:t>
      </w:r>
      <w:r w:rsidR="00B23158">
        <w:t>–</w:t>
      </w:r>
      <w:r>
        <w:t xml:space="preserve"> </w:t>
      </w:r>
      <w:r w:rsidR="00B23158">
        <w:t>Packet Loss Measurement</w:t>
      </w:r>
    </w:p>
    <w:p w14:paraId="4219C255" w14:textId="6B10FFB4" w:rsidR="00192768" w:rsidRDefault="00B23158" w:rsidP="00066525">
      <w:r>
        <w:t xml:space="preserve">Packet Loss is measured in </w:t>
      </w:r>
      <w:r w:rsidR="00361E8A">
        <w:t>DU (for DL)</w:t>
      </w:r>
      <w:r w:rsidR="0079393A">
        <w:t xml:space="preserve"> (in 38.314)</w:t>
      </w:r>
      <w:r w:rsidR="00E81024">
        <w:t xml:space="preserve"> </w:t>
      </w:r>
      <w:r w:rsidR="00361E8A">
        <w:t>and in CU-UP for UL</w:t>
      </w:r>
      <w:r w:rsidR="0079393A">
        <w:t xml:space="preserve"> (in 28.552)</w:t>
      </w:r>
      <w:r w:rsidR="00361E8A">
        <w:t>.</w:t>
      </w:r>
    </w:p>
    <w:p w14:paraId="62865DB0" w14:textId="50CE5352" w:rsidR="00821D05" w:rsidRDefault="00824FD1" w:rsidP="00821D05">
      <w:pPr>
        <w:keepNext/>
        <w:jc w:val="center"/>
      </w:pPr>
      <w:r>
        <w:object w:dxaOrig="9405" w:dyaOrig="7561" w14:anchorId="2C85B741">
          <v:shape id="_x0000_i1027" type="#_x0000_t75" style="width:224.3pt;height:179.95pt" o:ole="">
            <v:imagedata r:id="rId17" o:title=""/>
          </v:shape>
          <o:OLEObject Type="Embed" ProgID="Visio.Drawing.15" ShapeID="_x0000_i1027" DrawAspect="Content" ObjectID="_1664920195" r:id="rId18"/>
        </w:object>
      </w:r>
    </w:p>
    <w:p w14:paraId="20D410BB" w14:textId="6AF8AFB1" w:rsidR="00361E8A" w:rsidRDefault="00821D05" w:rsidP="00821D05">
      <w:pPr>
        <w:pStyle w:val="Caption"/>
        <w:jc w:val="center"/>
      </w:pPr>
      <w:bookmarkStart w:id="3" w:name="_Ref52826385"/>
      <w:r>
        <w:t xml:space="preserve">Figure </w:t>
      </w:r>
      <w:r w:rsidR="00C12454">
        <w:fldChar w:fldCharType="begin"/>
      </w:r>
      <w:r w:rsidR="00C12454">
        <w:instrText xml:space="preserve"> SEQ Figure \* ARABIC </w:instrText>
      </w:r>
      <w:r w:rsidR="00C12454">
        <w:fldChar w:fldCharType="separate"/>
      </w:r>
      <w:r>
        <w:rPr>
          <w:noProof/>
        </w:rPr>
        <w:t>3</w:t>
      </w:r>
      <w:r w:rsidR="00C12454">
        <w:rPr>
          <w:noProof/>
        </w:rPr>
        <w:fldChar w:fldCharType="end"/>
      </w:r>
      <w:bookmarkEnd w:id="3"/>
      <w:r>
        <w:t>: M7 Measurement – Signalling based</w:t>
      </w:r>
    </w:p>
    <w:p w14:paraId="1BE33821" w14:textId="0EFA41AD" w:rsidR="000D38D9" w:rsidRDefault="000D38D9" w:rsidP="000D38D9">
      <w:r>
        <w:t xml:space="preserve">As shown in </w:t>
      </w:r>
      <w:r w:rsidR="0079393A">
        <w:fldChar w:fldCharType="begin"/>
      </w:r>
      <w:r w:rsidR="0079393A">
        <w:instrText xml:space="preserve"> REF _Ref52826385 \h </w:instrText>
      </w:r>
      <w:r w:rsidR="0079393A">
        <w:fldChar w:fldCharType="separate"/>
      </w:r>
      <w:r w:rsidR="0079393A">
        <w:t xml:space="preserve">Figure </w:t>
      </w:r>
      <w:r w:rsidR="0079393A">
        <w:rPr>
          <w:noProof/>
        </w:rPr>
        <w:t>3</w:t>
      </w:r>
      <w:r w:rsidR="0079393A">
        <w:fldChar w:fldCharType="end"/>
      </w:r>
      <w:r>
        <w:fldChar w:fldCharType="begin"/>
      </w:r>
      <w:r>
        <w:instrText xml:space="preserve"> REF _Ref52824553 \h </w:instrText>
      </w:r>
      <w:r>
        <w:fldChar w:fldCharType="end"/>
      </w:r>
      <w:r>
        <w:t xml:space="preserve">, when the measurement configuration is received from AMF, gNB-CU-CP transfers it to gNB-DU, gNB-CU-UP. The measurements are performed, and the report is sent to </w:t>
      </w:r>
      <w:r w:rsidR="00824FD1">
        <w:t>MDT Data Consumer</w:t>
      </w:r>
      <w:r>
        <w:t>.</w:t>
      </w:r>
    </w:p>
    <w:p w14:paraId="76ED08DA" w14:textId="7D22A22A" w:rsidR="000D38D9" w:rsidRDefault="000D38D9" w:rsidP="000D38D9">
      <w:pPr>
        <w:rPr>
          <w:b/>
          <w:bCs/>
        </w:rPr>
      </w:pPr>
      <w:r w:rsidRPr="00066525">
        <w:rPr>
          <w:b/>
          <w:bCs/>
        </w:rPr>
        <w:t xml:space="preserve">Observation </w:t>
      </w:r>
      <w:r w:rsidR="0079393A">
        <w:rPr>
          <w:b/>
          <w:bCs/>
        </w:rPr>
        <w:t>3</w:t>
      </w:r>
      <w:r w:rsidRPr="00066525">
        <w:rPr>
          <w:b/>
          <w:bCs/>
        </w:rPr>
        <w:t xml:space="preserve">: </w:t>
      </w:r>
      <w:r w:rsidRPr="00413416">
        <w:t>When M</w:t>
      </w:r>
      <w:r w:rsidR="0079393A" w:rsidRPr="00413416">
        <w:t>7</w:t>
      </w:r>
      <w:r w:rsidRPr="00413416">
        <w:t xml:space="preserve"> measurement is configured via signalling, the configuration is received by gNB-CU from Core network and forwarded</w:t>
      </w:r>
      <w:r w:rsidR="0079393A" w:rsidRPr="00413416">
        <w:t xml:space="preserve"> to gNB-DU and gNB-CU-UP</w:t>
      </w:r>
      <w:r w:rsidRPr="00413416">
        <w:t>.</w:t>
      </w:r>
    </w:p>
    <w:p w14:paraId="7BBAEC4E" w14:textId="2478CA62" w:rsidR="0079393A" w:rsidRDefault="0079393A" w:rsidP="0079393A">
      <w:pPr>
        <w:pStyle w:val="Heading2"/>
      </w:pPr>
      <w:r>
        <w:t>2.4</w:t>
      </w:r>
      <w:r>
        <w:tab/>
        <w:t>Management based MDT</w:t>
      </w:r>
    </w:p>
    <w:p w14:paraId="48F8CD8B" w14:textId="353513DD" w:rsidR="0079393A" w:rsidRPr="00413416" w:rsidRDefault="0079393A" w:rsidP="0079393A">
      <w:r w:rsidRPr="00413416">
        <w:t xml:space="preserve">In the example above, signalling based management is described. When Management based is used, the same process is used, with the following difference: there is no configuration coming from Core Network, but gNB-CU-CP </w:t>
      </w:r>
      <w:r w:rsidR="00824FD1" w:rsidRPr="00413416">
        <w:t xml:space="preserve">selects </w:t>
      </w:r>
      <w:r w:rsidRPr="00413416">
        <w:t xml:space="preserve">some UE to perform the measurement. The measurements are performed, and the report is sent to </w:t>
      </w:r>
      <w:r w:rsidR="00824FD1" w:rsidRPr="00413416">
        <w:t>MDT Data Consumer</w:t>
      </w:r>
      <w:r w:rsidR="00413416">
        <w:t xml:space="preserve">. </w:t>
      </w:r>
    </w:p>
    <w:p w14:paraId="34DDBE8B" w14:textId="18B61038" w:rsidR="0079393A" w:rsidRPr="00413416" w:rsidRDefault="0079393A" w:rsidP="0079393A">
      <w:r w:rsidRPr="00413416">
        <w:rPr>
          <w:b/>
          <w:bCs/>
        </w:rPr>
        <w:t xml:space="preserve">Observation 4: </w:t>
      </w:r>
      <w:r w:rsidR="00413416">
        <w:t>F</w:t>
      </w:r>
      <w:r w:rsidRPr="00413416">
        <w:t xml:space="preserve">or M5~7, Management Based MDT, the same process as signalling based is used, but the </w:t>
      </w:r>
      <w:r w:rsidR="00463620" w:rsidRPr="00413416">
        <w:t>configuration comes directly to gNB-CU.</w:t>
      </w:r>
    </w:p>
    <w:p w14:paraId="44EA2D32" w14:textId="77777777" w:rsidR="00C01DAC" w:rsidRPr="00C01DAC" w:rsidRDefault="00C01DAC" w:rsidP="00066525"/>
    <w:p w14:paraId="5DB6AD22" w14:textId="22C33EA2" w:rsidR="009B577C" w:rsidRDefault="009B577C" w:rsidP="009B577C">
      <w:pPr>
        <w:pStyle w:val="Heading2"/>
      </w:pPr>
      <w:r>
        <w:t>2.2</w:t>
      </w:r>
      <w:r>
        <w:tab/>
        <w:t>Dual Connectivity</w:t>
      </w:r>
    </w:p>
    <w:p w14:paraId="637391D1" w14:textId="64A13E55" w:rsidR="00B472E6" w:rsidRDefault="00361E8A" w:rsidP="00361E8A">
      <w:r>
        <w:t>For Dual connectivity,</w:t>
      </w:r>
      <w:r w:rsidR="00746F4A">
        <w:t xml:space="preserve"> some of the measurement configuration need to be forwarded to the relevant nodes</w:t>
      </w:r>
      <w:r w:rsidR="00463620">
        <w:t xml:space="preserve"> that are not controlled by MgNB-CU-CP. T</w:t>
      </w:r>
      <w:r w:rsidR="00B472E6">
        <w:t>he relevant interfaces (Xn, F1, E1) already allow the configuration of the relevant nodes</w:t>
      </w:r>
      <w:r w:rsidR="00463620">
        <w:t xml:space="preserve"> in MgNB or SgNB</w:t>
      </w:r>
    </w:p>
    <w:p w14:paraId="114A9701" w14:textId="5452B157" w:rsidR="00B472E6" w:rsidRPr="00463620" w:rsidRDefault="00746F4A" w:rsidP="00361E8A">
      <w:pPr>
        <w:rPr>
          <w:b/>
          <w:bCs/>
        </w:rPr>
      </w:pPr>
      <w:r w:rsidRPr="00463620">
        <w:rPr>
          <w:b/>
          <w:bCs/>
        </w:rPr>
        <w:t>Proposal</w:t>
      </w:r>
      <w:r w:rsidR="00413416">
        <w:rPr>
          <w:b/>
          <w:bCs/>
        </w:rPr>
        <w:t xml:space="preserve"> 1</w:t>
      </w:r>
      <w:r w:rsidR="00B472E6" w:rsidRPr="00463620">
        <w:rPr>
          <w:b/>
          <w:bCs/>
        </w:rPr>
        <w:t xml:space="preserve">: </w:t>
      </w:r>
      <w:r w:rsidR="00B472E6" w:rsidRPr="00413416">
        <w:t xml:space="preserve">For </w:t>
      </w:r>
      <w:r w:rsidR="00463620" w:rsidRPr="00413416">
        <w:t xml:space="preserve">NR </w:t>
      </w:r>
      <w:r w:rsidR="00B472E6" w:rsidRPr="00413416">
        <w:t xml:space="preserve">Dual connectivity, the relevant nodes are configured in order to provide the measurements to </w:t>
      </w:r>
      <w:r w:rsidR="00824FD1" w:rsidRPr="00413416">
        <w:t>MDT Data Consumer</w:t>
      </w:r>
      <w:r w:rsidR="00B472E6" w:rsidRPr="00413416">
        <w:t>.</w:t>
      </w:r>
    </w:p>
    <w:p w14:paraId="2CF2C727" w14:textId="077FE51D" w:rsidR="00A35EDA" w:rsidRDefault="00B472E6" w:rsidP="00361E8A">
      <w:r>
        <w:t xml:space="preserve">For the UE, in case of </w:t>
      </w:r>
      <w:r w:rsidR="00463620">
        <w:t xml:space="preserve">NR </w:t>
      </w:r>
      <w:r>
        <w:t xml:space="preserve">DC, the relevant measurement configuration </w:t>
      </w:r>
      <w:r w:rsidR="00A35EDA">
        <w:t>can be done by</w:t>
      </w:r>
      <w:r w:rsidR="00463620">
        <w:t xml:space="preserve"> either MN</w:t>
      </w:r>
      <w:r w:rsidR="00A35EDA">
        <w:t xml:space="preserve"> or SN. The basic principle could be that the measurement for the UE is done by the entity (MN or SN) controlling the PDCP of the DRB that needs to be measured.</w:t>
      </w:r>
    </w:p>
    <w:p w14:paraId="4C89E3FC" w14:textId="0DC1A93A" w:rsidR="005576F4" w:rsidRPr="005576F4" w:rsidRDefault="005576F4" w:rsidP="005576F4">
      <w:pPr>
        <w:rPr>
          <w:b/>
          <w:bCs/>
        </w:rPr>
      </w:pPr>
      <w:r w:rsidRPr="005576F4">
        <w:rPr>
          <w:b/>
          <w:bCs/>
        </w:rPr>
        <w:t>Proposal</w:t>
      </w:r>
      <w:r w:rsidR="00413416">
        <w:rPr>
          <w:b/>
          <w:bCs/>
        </w:rPr>
        <w:t xml:space="preserve"> 2</w:t>
      </w:r>
      <w:r w:rsidRPr="005576F4">
        <w:rPr>
          <w:b/>
          <w:bCs/>
        </w:rPr>
        <w:t xml:space="preserve">: </w:t>
      </w:r>
      <w:r w:rsidRPr="00413416">
        <w:t xml:space="preserve">The basic principle </w:t>
      </w:r>
      <w:r w:rsidR="00463620" w:rsidRPr="00413416">
        <w:t xml:space="preserve">for UE configuration for NR DC is </w:t>
      </w:r>
      <w:r w:rsidRPr="00413416">
        <w:t>that the measurement for the UE is done by the entity (MN or SN) controlling the PDCP of the DRB that needs to be measured.</w:t>
      </w:r>
    </w:p>
    <w:p w14:paraId="5E68AE0F" w14:textId="6F2664BE" w:rsidR="00A35EDA" w:rsidRDefault="00821D05" w:rsidP="00361E8A">
      <w:r>
        <w:t>For example, to measure M5 (throughput) on a SCG Bearer</w:t>
      </w:r>
      <w:r w:rsidR="00463620">
        <w:t xml:space="preserve"> would be the following way:</w:t>
      </w:r>
    </w:p>
    <w:p w14:paraId="277F487F" w14:textId="55EF5355" w:rsidR="00821D05" w:rsidRDefault="00E50359" w:rsidP="00821D05">
      <w:pPr>
        <w:keepNext/>
        <w:jc w:val="center"/>
      </w:pPr>
      <w:r>
        <w:object w:dxaOrig="11730" w:dyaOrig="7561" w14:anchorId="20B162C5">
          <v:shape id="_x0000_i1028" type="#_x0000_t75" style="width:279.75pt;height:179.95pt" o:ole="">
            <v:imagedata r:id="rId19" o:title=""/>
          </v:shape>
          <o:OLEObject Type="Embed" ProgID="Visio.Drawing.15" ShapeID="_x0000_i1028" DrawAspect="Content" ObjectID="_1664920196" r:id="rId20"/>
        </w:object>
      </w:r>
    </w:p>
    <w:p w14:paraId="19D1CCFA" w14:textId="2336B2C4" w:rsidR="00821D05" w:rsidRDefault="00821D05" w:rsidP="00821D05">
      <w:pPr>
        <w:pStyle w:val="Caption"/>
        <w:jc w:val="center"/>
      </w:pPr>
      <w:r>
        <w:t xml:space="preserve">Figure </w:t>
      </w:r>
      <w:r w:rsidR="00C12454">
        <w:fldChar w:fldCharType="begin"/>
      </w:r>
      <w:r w:rsidR="00C12454">
        <w:instrText xml:space="preserve"> SEQ Figure \* ARABIC </w:instrText>
      </w:r>
      <w:r w:rsidR="00C12454">
        <w:fldChar w:fldCharType="separate"/>
      </w:r>
      <w:r>
        <w:rPr>
          <w:noProof/>
        </w:rPr>
        <w:t>4</w:t>
      </w:r>
      <w:r w:rsidR="00C12454">
        <w:rPr>
          <w:noProof/>
        </w:rPr>
        <w:fldChar w:fldCharType="end"/>
      </w:r>
      <w:r>
        <w:t>: MR-DC case for M5 on SCG Bearer</w:t>
      </w:r>
    </w:p>
    <w:p w14:paraId="270A77B6" w14:textId="5729D5B8" w:rsidR="00883B85" w:rsidRDefault="00883B85" w:rsidP="00883B85">
      <w:pPr>
        <w:pStyle w:val="Heading2"/>
      </w:pPr>
      <w:r>
        <w:t>2.3</w:t>
      </w:r>
      <w:r>
        <w:tab/>
        <w:t>Mobility and Dual Connectivity for Immediate MDT</w:t>
      </w:r>
    </w:p>
    <w:p w14:paraId="52DBDFFE" w14:textId="44375B9B" w:rsidR="00D85EC6" w:rsidRDefault="00C90F0A">
      <w:r>
        <w:t xml:space="preserve">When UE </w:t>
      </w:r>
      <w:r w:rsidR="003169EF">
        <w:t xml:space="preserve">is </w:t>
      </w:r>
      <w:r w:rsidR="003A0253">
        <w:t>configured for immediate MDT and dual connecti</w:t>
      </w:r>
      <w:r w:rsidR="00D85EC6">
        <w:t>vity, we need to look at two different cases Man</w:t>
      </w:r>
      <w:r w:rsidR="003378F0">
        <w:t>a</w:t>
      </w:r>
      <w:r w:rsidR="00D85EC6">
        <w:t>gement Based or Signalling Based MDT.</w:t>
      </w:r>
    </w:p>
    <w:p w14:paraId="35671463" w14:textId="4BA19955" w:rsidR="00D85EC6" w:rsidRDefault="00D85EC6">
      <w:r>
        <w:t>For Management based MDT, there should not be any propagation of the Immediate MDT configuration during Handover. So the MN should de-</w:t>
      </w:r>
      <w:r w:rsidR="00B5482E">
        <w:t>configured</w:t>
      </w:r>
      <w:r>
        <w:t xml:space="preserve"> all the MDT configuration in MN and SN when the Handover Occurs. This is already possible.</w:t>
      </w:r>
    </w:p>
    <w:p w14:paraId="42167A8C" w14:textId="491D56EF" w:rsidR="00D85EC6" w:rsidRDefault="00D85EC6">
      <w:r>
        <w:t xml:space="preserve">For signalling </w:t>
      </w:r>
      <w:r w:rsidR="00B5482E">
        <w:t>based MDT</w:t>
      </w:r>
      <w:r>
        <w:t>, the context should be propagated when the Handover takes place. If the SN changes during the Handover, is should be de</w:t>
      </w:r>
      <w:r w:rsidR="00B5482E">
        <w:t>-</w:t>
      </w:r>
      <w:r>
        <w:t xml:space="preserve">configured in the source SN and re-configured in the </w:t>
      </w:r>
      <w:r w:rsidR="00B5482E">
        <w:t>Target</w:t>
      </w:r>
      <w:r>
        <w:t xml:space="preserve"> SN. But is the SN is kept two option are possible:</w:t>
      </w:r>
    </w:p>
    <w:p w14:paraId="5B4C2DFC" w14:textId="20A5FF76" w:rsidR="00D85EC6" w:rsidRDefault="00D85EC6">
      <w:r>
        <w:t>Option 1: the SN is de</w:t>
      </w:r>
      <w:r w:rsidR="00B5482E">
        <w:t>-</w:t>
      </w:r>
      <w:r>
        <w:t>configured for MDT and reconfigured after the Handover by the Target MN</w:t>
      </w:r>
    </w:p>
    <w:p w14:paraId="0CBF816B" w14:textId="1B4623C4" w:rsidR="00D85EC6" w:rsidRDefault="00D85EC6" w:rsidP="00D85EC6">
      <w:r>
        <w:t xml:space="preserve">Option </w:t>
      </w:r>
      <w:r w:rsidR="00B5482E">
        <w:t>2</w:t>
      </w:r>
      <w:r>
        <w:t xml:space="preserve">: </w:t>
      </w:r>
      <w:r w:rsidR="00B5482E">
        <w:t xml:space="preserve">The configuration stays in SN </w:t>
      </w:r>
    </w:p>
    <w:p w14:paraId="6CD6DE22" w14:textId="2908B795" w:rsidR="00B5482E" w:rsidRDefault="00B5482E" w:rsidP="00D85EC6">
      <w:r>
        <w:t>RAN2 should investigate which is the best choice. We think that option 1 is already feasible and does not require any change in the specification.</w:t>
      </w:r>
    </w:p>
    <w:p w14:paraId="4E779184" w14:textId="7D07AC3A" w:rsidR="00B5482E" w:rsidRDefault="00B5482E" w:rsidP="00D85EC6">
      <w:r w:rsidRPr="00413416">
        <w:rPr>
          <w:b/>
          <w:bCs/>
        </w:rPr>
        <w:t xml:space="preserve">Proposal </w:t>
      </w:r>
      <w:r w:rsidR="00413416" w:rsidRPr="00413416">
        <w:rPr>
          <w:b/>
          <w:bCs/>
        </w:rPr>
        <w:t>3</w:t>
      </w:r>
      <w:r w:rsidRPr="00413416">
        <w:rPr>
          <w:b/>
          <w:bCs/>
        </w:rPr>
        <w:t>:</w:t>
      </w:r>
      <w:r>
        <w:t xml:space="preserve"> For Signalling based MDT, in case of Handover with no SN change, SN is de-configured by source MN and re-configured by Target MN</w:t>
      </w:r>
    </w:p>
    <w:p w14:paraId="3BF2FC61" w14:textId="77777777" w:rsidR="00E81024" w:rsidRDefault="00E81024" w:rsidP="00361E8A">
      <w:pPr>
        <w:rPr>
          <w:highlight w:val="yellow"/>
        </w:rPr>
      </w:pPr>
    </w:p>
    <w:p w14:paraId="1CA95646" w14:textId="01B6FA86" w:rsidR="00B5482E" w:rsidRDefault="00B5482E" w:rsidP="00413416">
      <w:pPr>
        <w:pStyle w:val="Heading2"/>
      </w:pPr>
      <w:r>
        <w:t>2.4</w:t>
      </w:r>
      <w:r>
        <w:tab/>
        <w:t>DAPS and CHO</w:t>
      </w:r>
    </w:p>
    <w:p w14:paraId="7A6E4154" w14:textId="6F29EE7A" w:rsidR="00196DF2" w:rsidRDefault="007C5DA0" w:rsidP="00066525">
      <w:r>
        <w:t>For CHO, the</w:t>
      </w:r>
      <w:r w:rsidR="00EA34D4">
        <w:t xml:space="preserve">re should not be any difference from regular Handover: </w:t>
      </w:r>
      <w:r w:rsidR="00DE455F">
        <w:t xml:space="preserve">in case of signalling based MDT </w:t>
      </w:r>
      <w:r w:rsidR="00EA34D4">
        <w:t xml:space="preserve">the target gNB should be configured during CHO Request procedure. The </w:t>
      </w:r>
      <w:r w:rsidR="00DE455F">
        <w:t>collection of Immediate MDT measurements should continue in the source cell until the Conditional Handover is triggered.</w:t>
      </w:r>
    </w:p>
    <w:p w14:paraId="2E782756" w14:textId="33A824A7" w:rsidR="00DE455F" w:rsidRDefault="00DE455F" w:rsidP="00066525">
      <w:r>
        <w:t>For DAPS: the Immediate MDT collection should continue in the source cell until the link is broken. The configuration in the target cell should be propagated only if it is Signalling based MDT. The collection of measurement in the target cell can start when DAPS is configured.</w:t>
      </w:r>
    </w:p>
    <w:p w14:paraId="4B6C7765" w14:textId="77777777" w:rsidR="001738FE" w:rsidRDefault="001738FE" w:rsidP="001738FE"/>
    <w:p w14:paraId="59411C58" w14:textId="5DA12F1A" w:rsidR="003173E5" w:rsidRDefault="003173E5" w:rsidP="00413416">
      <w:pPr>
        <w:pStyle w:val="Heading2"/>
      </w:pPr>
      <w:r>
        <w:t>2.5 Area Scope for Immediate MDT</w:t>
      </w:r>
    </w:p>
    <w:p w14:paraId="24411904" w14:textId="1C7741F0" w:rsidR="003173E5" w:rsidRDefault="003173E5" w:rsidP="003173E5">
      <w:r>
        <w:t>In MDT Configuration, Area Scope indicates the area, in terms of a list of NG-RAN cells, on which UE measurements may be collected. The gNB selects a UE for MDT data collection by taking into account the Area Scope in the received MDT Configuration. If the UE is outside the Area Scope, then it should not be selected for data collection.</w:t>
      </w:r>
      <w:r w:rsidR="001A3562">
        <w:t xml:space="preserve"> Currently, the minimum </w:t>
      </w:r>
      <w:r w:rsidR="003C2043">
        <w:t>A</w:t>
      </w:r>
      <w:r w:rsidR="001A3562">
        <w:t>rea</w:t>
      </w:r>
      <w:r w:rsidR="003C2043">
        <w:t xml:space="preserve"> Scope</w:t>
      </w:r>
      <w:r w:rsidR="001A3562">
        <w:t xml:space="preserve"> granularity is on a per cell basis. However, it</w:t>
      </w:r>
      <w:r w:rsidR="003C2043">
        <w:t xml:space="preserve"> is of benefit </w:t>
      </w:r>
      <w:r w:rsidR="009330C9">
        <w:t xml:space="preserve">both on the UE and </w:t>
      </w:r>
      <w:r w:rsidR="003C2043">
        <w:t>network</w:t>
      </w:r>
      <w:r w:rsidR="009330C9">
        <w:t xml:space="preserve"> sides</w:t>
      </w:r>
      <w:r w:rsidR="003C2043">
        <w:t xml:space="preserve"> to trigger</w:t>
      </w:r>
      <w:r w:rsidR="005E1188">
        <w:t xml:space="preserve"> focused measurements from UEs </w:t>
      </w:r>
      <w:r w:rsidR="009330C9">
        <w:t xml:space="preserve">located </w:t>
      </w:r>
      <w:r w:rsidR="005E1188">
        <w:t>in a smaller area. For instance, by configuring the Area Scope over an intersection of cells</w:t>
      </w:r>
      <w:r w:rsidR="003C2043">
        <w:t>,</w:t>
      </w:r>
      <w:r w:rsidR="005E1188">
        <w:t xml:space="preserve"> only UEs at the cell edge </w:t>
      </w:r>
      <w:r w:rsidR="005F728D">
        <w:t>c</w:t>
      </w:r>
      <w:r w:rsidR="005E1188">
        <w:t xml:space="preserve">ould be selected to report measurements. </w:t>
      </w:r>
      <w:r w:rsidR="003C2043">
        <w:t xml:space="preserve">Providing the means for a </w:t>
      </w:r>
      <w:r w:rsidR="003C2043">
        <w:lastRenderedPageBreak/>
        <w:t>more focused Immediate MDT reporting can reduce the amount of requested measurements from the UEs and also the amount of measurements that need to be subsequently processed at the network side.</w:t>
      </w:r>
    </w:p>
    <w:p w14:paraId="5DE133EB" w14:textId="50DC63CC" w:rsidR="003173E5" w:rsidRDefault="005E1188" w:rsidP="003173E5">
      <w:r w:rsidRPr="00413416">
        <w:rPr>
          <w:b/>
          <w:bCs/>
        </w:rPr>
        <w:t>Proposal</w:t>
      </w:r>
      <w:r w:rsidR="00413416">
        <w:rPr>
          <w:b/>
          <w:bCs/>
        </w:rPr>
        <w:t xml:space="preserve"> 4</w:t>
      </w:r>
      <w:r>
        <w:t xml:space="preserve">: Area Scope Configuration of finer granularity should be supported in the MDT Configuration. </w:t>
      </w:r>
    </w:p>
    <w:p w14:paraId="45FFFE77" w14:textId="35E56FE2" w:rsidR="00F72D9B" w:rsidRPr="006E13D1" w:rsidRDefault="00F72D9B" w:rsidP="00F72D9B">
      <w:pPr>
        <w:pStyle w:val="Heading1"/>
      </w:pPr>
      <w:r>
        <w:t>3</w:t>
      </w:r>
      <w:r w:rsidR="001738FE" w:rsidRPr="006E13D1">
        <w:tab/>
      </w:r>
      <w:r w:rsidR="00C3700F">
        <w:t xml:space="preserve">UE-based </w:t>
      </w:r>
      <w:r>
        <w:t xml:space="preserve">Immediate MDT </w:t>
      </w:r>
      <w:r w:rsidR="00C3700F">
        <w:t>enhancement</w:t>
      </w:r>
    </w:p>
    <w:p w14:paraId="034056CB" w14:textId="6C9CA931" w:rsidR="0018091F" w:rsidRPr="006E13D1" w:rsidRDefault="0018091F" w:rsidP="00413416">
      <w:pPr>
        <w:pStyle w:val="Heading2"/>
      </w:pPr>
      <w:r>
        <w:t>3.1</w:t>
      </w:r>
      <w:r w:rsidRPr="006E13D1">
        <w:tab/>
      </w:r>
      <w:r>
        <w:t>I</w:t>
      </w:r>
      <w:r w:rsidRPr="00450146">
        <w:t>nterference caused by accumulation of several non-dominant neighbours</w:t>
      </w:r>
    </w:p>
    <w:p w14:paraId="564E695C" w14:textId="77777777" w:rsidR="0018091F" w:rsidRDefault="0018091F" w:rsidP="0018091F">
      <w:r>
        <w:t>With dense small cell NR deployment with multi TRPs (typically in combination with beamforming) unexpected interference spots resulting from the overlapping and, therefore, accumulation of several neighbouring cells/beams with comparable signal strength as the serving cell/beam are quite likely. These interference spots are not detectable with existing measurement events used for handover triggering and might appear like coverage hole, but the signal strength measurements contained in the RLF report falsifies a coverage issue.</w:t>
      </w:r>
    </w:p>
    <w:p w14:paraId="192CDECE" w14:textId="77777777" w:rsidR="0018091F" w:rsidRDefault="0018091F" w:rsidP="0018091F">
      <w:r>
        <w:t>The reason why existing handover events do not react results from the missing dominant interferer. In traditional three-sector cell layout there are only one or two dominant neighbour cells where most dominant one becomes the strongest interferer, and finally the target cell for handover triggered by the measurement event A3.</w:t>
      </w:r>
    </w:p>
    <w:p w14:paraId="696C4A11" w14:textId="77777777" w:rsidR="0018091F" w:rsidRDefault="0018091F" w:rsidP="0018091F">
      <w:r>
        <w:t>If however an UE is in an area where several beams from different cell are detectable with a comparable signal strength as the serving beam the UE will suffer from RLF except coordination (e.g. CoMP) is applied. Without CoMP only a change of network layer (e.g. inter-frequency handover) can avoid the RLF.</w:t>
      </w:r>
    </w:p>
    <w:p w14:paraId="7A626815" w14:textId="77777777" w:rsidR="0018091F" w:rsidRDefault="0018091F" w:rsidP="0018091F">
      <w:r>
        <w:t>Figure x exemplarily shows a square in the city where for capacity and coverage reasons 5 TRPs represented by red triangles have been deployed.</w:t>
      </w:r>
    </w:p>
    <w:p w14:paraId="2C3FDBC6" w14:textId="77777777" w:rsidR="0018091F" w:rsidRDefault="0018091F" w:rsidP="0018091F">
      <w:r>
        <w:t>A UE located in the area of the South-West corner of the square is receiving almost equally strong signal strength from five small cell nodes of x Watt (W). Assuming that x W is sufficiently high for serving the UE, i.e. clearly above noise level, the experienced SINR of the UE is</w:t>
      </w:r>
    </w:p>
    <w:p w14:paraId="28DF155F" w14:textId="63D726FB" w:rsidR="0018091F" w:rsidRPr="00CD4659" w:rsidRDefault="0018091F" w:rsidP="0018091F">
      <m:oMath>
        <m:r>
          <w:rPr>
            <w:rFonts w:ascii="Cambria Math" w:hAnsi="Cambria Math"/>
          </w:rPr>
          <m:t>SINR=</m:t>
        </m:r>
        <m:f>
          <m:fPr>
            <m:ctrlPr>
              <w:rPr>
                <w:rFonts w:ascii="Cambria Math" w:hAnsi="Cambria Math"/>
                <w:sz w:val="22"/>
              </w:rPr>
            </m:ctrlPr>
          </m:fPr>
          <m:num>
            <m:r>
              <w:rPr>
                <w:rFonts w:ascii="Cambria Math" w:hAnsi="Cambria Math"/>
              </w:rPr>
              <m:t>x</m:t>
            </m:r>
          </m:num>
          <m:den>
            <m:r>
              <w:rPr>
                <w:rFonts w:ascii="Cambria Math" w:hAnsi="Cambria Math"/>
              </w:rPr>
              <m:t>4</m:t>
            </m:r>
            <m:r>
              <w:rPr>
                <w:rFonts w:ascii="Cambria Math" w:hAnsi="Cambria Math"/>
                <w:lang w:val="de-DE"/>
              </w:rPr>
              <m:t>x</m:t>
            </m:r>
          </m:den>
        </m:f>
        <m:r>
          <w:rPr>
            <w:rFonts w:ascii="Cambria Math" w:hAnsi="Cambria Math"/>
          </w:rPr>
          <m:t>=</m:t>
        </m:r>
        <m:f>
          <m:fPr>
            <m:ctrlPr>
              <w:rPr>
                <w:rFonts w:ascii="Cambria Math" w:hAnsi="Cambria Math"/>
                <w:sz w:val="22"/>
              </w:rPr>
            </m:ctrlPr>
          </m:fPr>
          <m:num>
            <m:r>
              <w:rPr>
                <w:rFonts w:ascii="Cambria Math" w:hAnsi="Cambria Math"/>
              </w:rPr>
              <m:t>1</m:t>
            </m:r>
          </m:num>
          <m:den>
            <m:r>
              <w:rPr>
                <w:rFonts w:ascii="Cambria Math" w:hAnsi="Cambria Math"/>
              </w:rPr>
              <m:t>4</m:t>
            </m:r>
          </m:den>
        </m:f>
        <m:r>
          <w:rPr>
            <w:rFonts w:ascii="Cambria Math" w:hAnsi="Cambria Math"/>
          </w:rPr>
          <m:t xml:space="preserve">= -6 </m:t>
        </m:r>
        <m:r>
          <w:rPr>
            <w:rFonts w:ascii="Cambria Math" w:hAnsi="Cambria Math"/>
            <w:lang w:val="de-DE"/>
          </w:rPr>
          <m:t>dB</m:t>
        </m:r>
      </m:oMath>
      <w:r>
        <w:t>,</w:t>
      </w:r>
    </w:p>
    <w:p w14:paraId="11439A35" w14:textId="77777777" w:rsidR="0018091F" w:rsidRDefault="0018091F" w:rsidP="0018091F">
      <w:r>
        <w:t xml:space="preserve">and might cause a RLF with rather high probability. </w:t>
      </w:r>
    </w:p>
    <w:p w14:paraId="697F9BAC" w14:textId="77777777" w:rsidR="0018091F" w:rsidRDefault="0018091F" w:rsidP="0018091F"/>
    <w:p w14:paraId="5F840D11" w14:textId="2721444D" w:rsidR="0018091F" w:rsidRDefault="0018091F" w:rsidP="0018091F">
      <w:r>
        <w:rPr>
          <w:noProof/>
        </w:rPr>
        <mc:AlternateContent>
          <mc:Choice Requires="wpc">
            <w:drawing>
              <wp:inline distT="0" distB="0" distL="0" distR="0" wp14:anchorId="342B7BB3" wp14:editId="2936672F">
                <wp:extent cx="4039235" cy="1513205"/>
                <wp:effectExtent l="0" t="3810" r="3810" b="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4"/>
                        <wps:cNvSpPr>
                          <a:spLocks noChangeArrowheads="1"/>
                        </wps:cNvSpPr>
                        <wps:spPr bwMode="auto">
                          <a:xfrm>
                            <a:off x="832485" y="45085"/>
                            <a:ext cx="1404620" cy="13785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Rectangle 5"/>
                        <wps:cNvSpPr>
                          <a:spLocks noChangeArrowheads="1"/>
                        </wps:cNvSpPr>
                        <wps:spPr bwMode="auto">
                          <a:xfrm>
                            <a:off x="897255" y="86360"/>
                            <a:ext cx="38100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4" name="Rectangle 6"/>
                        <wps:cNvSpPr>
                          <a:spLocks noChangeArrowheads="1"/>
                        </wps:cNvSpPr>
                        <wps:spPr bwMode="auto">
                          <a:xfrm>
                            <a:off x="1354455" y="92710"/>
                            <a:ext cx="38100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5" name="Rectangle 7"/>
                        <wps:cNvSpPr>
                          <a:spLocks noChangeArrowheads="1"/>
                        </wps:cNvSpPr>
                        <wps:spPr bwMode="auto">
                          <a:xfrm>
                            <a:off x="890905" y="753110"/>
                            <a:ext cx="38100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6" name="Rectangle 8"/>
                        <wps:cNvSpPr>
                          <a:spLocks noChangeArrowheads="1"/>
                        </wps:cNvSpPr>
                        <wps:spPr bwMode="auto">
                          <a:xfrm>
                            <a:off x="890905" y="1089660"/>
                            <a:ext cx="38100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7" name="Rectangle 9"/>
                        <wps:cNvSpPr>
                          <a:spLocks noChangeArrowheads="1"/>
                        </wps:cNvSpPr>
                        <wps:spPr bwMode="auto">
                          <a:xfrm>
                            <a:off x="897255" y="416560"/>
                            <a:ext cx="38100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8" name="Rectangle 10"/>
                        <wps:cNvSpPr>
                          <a:spLocks noChangeArrowheads="1"/>
                        </wps:cNvSpPr>
                        <wps:spPr bwMode="auto">
                          <a:xfrm>
                            <a:off x="1354455" y="759460"/>
                            <a:ext cx="38100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9" name="Rectangle 11"/>
                        <wps:cNvSpPr>
                          <a:spLocks noChangeArrowheads="1"/>
                        </wps:cNvSpPr>
                        <wps:spPr bwMode="auto">
                          <a:xfrm>
                            <a:off x="1354455" y="1096010"/>
                            <a:ext cx="38100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0" name="Rectangle 12"/>
                        <wps:cNvSpPr>
                          <a:spLocks noChangeArrowheads="1"/>
                        </wps:cNvSpPr>
                        <wps:spPr bwMode="auto">
                          <a:xfrm>
                            <a:off x="1857375" y="92710"/>
                            <a:ext cx="10668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1" name="Rectangle 13"/>
                        <wps:cNvSpPr>
                          <a:spLocks noChangeArrowheads="1"/>
                        </wps:cNvSpPr>
                        <wps:spPr bwMode="auto">
                          <a:xfrm>
                            <a:off x="2047875" y="92710"/>
                            <a:ext cx="10668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2" name="Rectangle 14"/>
                        <wps:cNvSpPr>
                          <a:spLocks noChangeArrowheads="1"/>
                        </wps:cNvSpPr>
                        <wps:spPr bwMode="auto">
                          <a:xfrm>
                            <a:off x="1857375" y="416560"/>
                            <a:ext cx="10668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3" name="Rectangle 15"/>
                        <wps:cNvSpPr>
                          <a:spLocks noChangeArrowheads="1"/>
                        </wps:cNvSpPr>
                        <wps:spPr bwMode="auto">
                          <a:xfrm>
                            <a:off x="2047875" y="416560"/>
                            <a:ext cx="10668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4" name="Rectangle 16"/>
                        <wps:cNvSpPr>
                          <a:spLocks noChangeArrowheads="1"/>
                        </wps:cNvSpPr>
                        <wps:spPr bwMode="auto">
                          <a:xfrm>
                            <a:off x="1857375" y="759460"/>
                            <a:ext cx="10668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5" name="Rectangle 17"/>
                        <wps:cNvSpPr>
                          <a:spLocks noChangeArrowheads="1"/>
                        </wps:cNvSpPr>
                        <wps:spPr bwMode="auto">
                          <a:xfrm>
                            <a:off x="2047875" y="759460"/>
                            <a:ext cx="10668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6" name="Oval 18"/>
                        <wps:cNvSpPr>
                          <a:spLocks noChangeArrowheads="1"/>
                        </wps:cNvSpPr>
                        <wps:spPr bwMode="auto">
                          <a:xfrm>
                            <a:off x="1369060" y="384810"/>
                            <a:ext cx="130175" cy="361950"/>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s:wsp>
                        <wps:cNvPr id="17" name="Rectangle 19"/>
                        <wps:cNvSpPr>
                          <a:spLocks noChangeArrowheads="1"/>
                        </wps:cNvSpPr>
                        <wps:spPr bwMode="auto">
                          <a:xfrm>
                            <a:off x="1857375" y="1089660"/>
                            <a:ext cx="10668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8" name="Rectangle 20"/>
                        <wps:cNvSpPr>
                          <a:spLocks noChangeArrowheads="1"/>
                        </wps:cNvSpPr>
                        <wps:spPr bwMode="auto">
                          <a:xfrm>
                            <a:off x="2047875" y="1089660"/>
                            <a:ext cx="106680" cy="279400"/>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9" name="AutoShape 21"/>
                        <wps:cNvSpPr>
                          <a:spLocks noChangeArrowheads="1"/>
                        </wps:cNvSpPr>
                        <wps:spPr bwMode="auto">
                          <a:xfrm>
                            <a:off x="1407160" y="398780"/>
                            <a:ext cx="42545" cy="31115"/>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0" name="AutoShape 22"/>
                        <wps:cNvSpPr>
                          <a:spLocks noChangeArrowheads="1"/>
                        </wps:cNvSpPr>
                        <wps:spPr bwMode="auto">
                          <a:xfrm>
                            <a:off x="1530985" y="412115"/>
                            <a:ext cx="41910" cy="31115"/>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1" name="AutoShape 23"/>
                        <wps:cNvSpPr>
                          <a:spLocks noChangeArrowheads="1"/>
                        </wps:cNvSpPr>
                        <wps:spPr bwMode="auto">
                          <a:xfrm>
                            <a:off x="1656715" y="476885"/>
                            <a:ext cx="42545" cy="31115"/>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2" name="AutoShape 24"/>
                        <wps:cNvSpPr>
                          <a:spLocks noChangeArrowheads="1"/>
                        </wps:cNvSpPr>
                        <wps:spPr bwMode="auto">
                          <a:xfrm>
                            <a:off x="1711325" y="569595"/>
                            <a:ext cx="41910" cy="31115"/>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3" name="AutoShape 25"/>
                        <wps:cNvSpPr>
                          <a:spLocks noChangeArrowheads="1"/>
                        </wps:cNvSpPr>
                        <wps:spPr bwMode="auto">
                          <a:xfrm>
                            <a:off x="1711960" y="673100"/>
                            <a:ext cx="42545" cy="31115"/>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4" name="Oval 26"/>
                        <wps:cNvSpPr>
                          <a:spLocks noChangeArrowheads="1"/>
                        </wps:cNvSpPr>
                        <wps:spPr bwMode="auto">
                          <a:xfrm rot="1320146">
                            <a:off x="1442085" y="394335"/>
                            <a:ext cx="130175" cy="361950"/>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s:wsp>
                        <wps:cNvPr id="25" name="Oval 27"/>
                        <wps:cNvSpPr>
                          <a:spLocks noChangeArrowheads="1"/>
                        </wps:cNvSpPr>
                        <wps:spPr bwMode="auto">
                          <a:xfrm rot="2629095">
                            <a:off x="1530985" y="412115"/>
                            <a:ext cx="130175" cy="361950"/>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s:wsp>
                        <wps:cNvPr id="26" name="Oval 28"/>
                        <wps:cNvSpPr>
                          <a:spLocks noChangeArrowheads="1"/>
                        </wps:cNvSpPr>
                        <wps:spPr bwMode="auto">
                          <a:xfrm rot="3808228">
                            <a:off x="1555750" y="454660"/>
                            <a:ext cx="130175" cy="361950"/>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s:wsp>
                        <wps:cNvPr id="27" name="Oval 29"/>
                        <wps:cNvSpPr>
                          <a:spLocks noChangeArrowheads="1"/>
                        </wps:cNvSpPr>
                        <wps:spPr bwMode="auto">
                          <a:xfrm rot="5251900">
                            <a:off x="1520190" y="508635"/>
                            <a:ext cx="130175" cy="361950"/>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c:wpc>
                  </a:graphicData>
                </a:graphic>
              </wp:inline>
            </w:drawing>
          </mc:Choice>
          <mc:Fallback>
            <w:pict>
              <v:group w14:anchorId="5DEF951F" id="Canvas 28" o:spid="_x0000_s1026" editas="canvas" style="width:318.05pt;height:119.15pt;mso-position-horizontal-relative:char;mso-position-vertical-relative:line" coordsize="40392,15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">
                <v:shape id="_x0000_s1027" type="#_x0000_t75" style="position:absolute;width:40392;height:15132;visibility:visible;mso-wrap-style:square">
                  <v:fill o:detectmouseclick="t"/>
                  <v:path o:connecttype="none"/>
                </v:shape>
                <v:rect id="Rectangle 4" o:spid="_x0000_s1028" style="position:absolute;left:8324;top:450;width:14047;height:13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rect id="Rectangle 5" o:spid="_x0000_s1029" style="position:absolute;left:8972;top:863;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" fillcolor="#4472c4"/>
                <v:rect id="Rectangle 6" o:spid="_x0000_s1030" style="position:absolute;left:13544;top:927;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" fillcolor="#4472c4"/>
                <v:rect id="Rectangle 7" o:spid="_x0000_s1031" style="position:absolute;left:8909;top:7531;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" fillcolor="#4472c4"/>
                <v:rect id="Rectangle 8" o:spid="_x0000_s1032" style="position:absolute;left:8909;top:10896;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" fillcolor="#4472c4"/>
                <v:rect id="Rectangle 9" o:spid="_x0000_s1033" style="position:absolute;left:8972;top:4165;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" fillcolor="#4472c4"/>
                <v:rect id="Rectangle 10" o:spid="_x0000_s1034" style="position:absolute;left:13544;top:7594;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" fillcolor="#4472c4"/>
                <v:rect id="Rectangle 11" o:spid="_x0000_s1035" style="position:absolute;left:13544;top:10960;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" fillcolor="#4472c4"/>
                <v:rect id="Rectangle 12" o:spid="_x0000_s1036" style="position:absolute;left:18573;top:927;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" fillcolor="#4472c4"/>
                <v:rect id="Rectangle 13" o:spid="_x0000_s1037" style="position:absolute;left:20478;top:927;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" fillcolor="#4472c4"/>
                <v:rect id="Rectangle 14" o:spid="_x0000_s1038" style="position:absolute;left:18573;top:4165;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" fillcolor="#4472c4"/>
                <v:rect id="Rectangle 15" o:spid="_x0000_s1039" style="position:absolute;left:20478;top:4165;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" fillcolor="#4472c4"/>
                <v:rect id="Rectangle 16" o:spid="_x0000_s1040" style="position:absolute;left:18573;top:7594;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" fillcolor="#4472c4"/>
                <v:rect id="Rectangle 17" o:spid="_x0000_s1041" style="position:absolute;left:20478;top:7594;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" fillcolor="#4472c4"/>
                <v:oval id="Oval 18" o:spid="_x0000_s1042" style="position:absolute;left:13690;top:3848;width:1302;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" fillcolor="#fff2cc" strokecolor="#ddd">
                  <v:fill opacity="26214f"/>
                </v:oval>
                <v:rect id="Rectangle 19" o:spid="_x0000_s1043" style="position:absolute;left:18573;top:10896;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" fillcolor="#4472c4"/>
                <v:rect id="Rectangle 20" o:spid="_x0000_s1044" style="position:absolute;left:20478;top:10896;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" fillcolor="#4472c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1" o:spid="_x0000_s1045" type="#_x0000_t5" style="position:absolute;left:14071;top:3987;width:426;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" fillcolor="#c00000"/>
                <v:shape id="AutoShape 22" o:spid="_x0000_s1046" type="#_x0000_t5" style="position:absolute;left:15309;top:4121;width:419;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" fillcolor="#c00000"/>
                <v:shape id="AutoShape 23" o:spid="_x0000_s1047" type="#_x0000_t5" style="position:absolute;left:16567;top:4768;width:425;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" fillcolor="#c00000"/>
                <v:shape id="AutoShape 24" o:spid="_x0000_s1048" type="#_x0000_t5" style="position:absolute;left:17113;top:5695;width:419;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" fillcolor="#c00000"/>
                <v:shape id="AutoShape 25" o:spid="_x0000_s1049" type="#_x0000_t5" style="position:absolute;left:17119;top:6731;width:426;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" fillcolor="#c00000"/>
                <v:oval id="Oval 26" o:spid="_x0000_s1050" style="position:absolute;left:14420;top:3943;width:1302;height:3619;rotation:14419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" fillcolor="#fff2cc" strokecolor="#ddd">
                  <v:fill opacity="26214f"/>
                </v:oval>
                <v:oval id="Oval 27" o:spid="_x0000_s1051" style="position:absolute;left:15309;top:4121;width:1302;height:3619;rotation:287167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" fillcolor="#fff2cc" strokecolor="#ddd">
                  <v:fill opacity="26214f"/>
                </v:oval>
                <v:oval id="Oval 28" o:spid="_x0000_s1052" style="position:absolute;left:15557;top:4546;width:1302;height:3620;rotation:415960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" fillcolor="#fff2cc" strokecolor="#ddd">
                  <v:fill opacity="26214f"/>
                </v:oval>
                <v:oval id="Oval 29" o:spid="_x0000_s1053" style="position:absolute;left:15202;top:5086;width:1301;height:3619;rotation:573647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" fillcolor="#fff2cc" strokecolor="#ddd">
                  <v:fill opacity="26214f"/>
                </v:oval>
                <w10:anchorlock/>
              </v:group>
            </w:pict>
          </mc:Fallback>
        </mc:AlternateContent>
      </w:r>
      <w:r>
        <w:rPr>
          <w:noProof/>
        </w:rPr>
        <mc:AlternateContent>
          <mc:Choice Requires="wps">
            <w:drawing>
              <wp:inline distT="0" distB="0" distL="0" distR="0" wp14:anchorId="0335616A" wp14:editId="4C83B14A">
                <wp:extent cx="4039235" cy="260350"/>
                <wp:effectExtent l="0" t="3810" r="3810" b="25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923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8B5A8B" w14:textId="7A8C74B7" w:rsidR="0018091F" w:rsidRPr="00360339" w:rsidRDefault="0018091F" w:rsidP="0018091F">
                            <w:pPr>
                              <w:pStyle w:val="Caption"/>
                              <w:ind w:left="993" w:hanging="993"/>
                            </w:pPr>
                            <w:bookmarkStart w:id="4" w:name="_Ref14171214"/>
                            <w:r>
                              <w:t xml:space="preserve">Figure </w:t>
                            </w:r>
                            <w:bookmarkEnd w:id="4"/>
                            <w:r>
                              <w:t>5:</w:t>
                            </w:r>
                            <w:r>
                              <w:tab/>
                            </w:r>
                            <w:r w:rsidRPr="00360210">
                              <w:t xml:space="preserve">Small cell deployment of square </w:t>
                            </w:r>
                            <w:r>
                              <w:t>with 5 TRPs</w:t>
                            </w:r>
                          </w:p>
                        </w:txbxContent>
                      </wps:txbx>
                      <wps:bodyPr rot="0" vert="horz" wrap="square" lIns="0" tIns="0" rIns="0" bIns="0" anchor="t" anchorCtr="0" upright="1">
                        <a:spAutoFit/>
                      </wps:bodyPr>
                    </wps:wsp>
                  </a:graphicData>
                </a:graphic>
              </wp:inline>
            </w:drawing>
          </mc:Choice>
          <mc:Fallback>
            <w:pict>
              <v:shapetype w14:anchorId="0335616A" id="_x0000_t202" coordsize="21600,21600" o:spt="202" path="m,l,21600r21600,l21600,xe">
                <v:stroke joinstyle="miter"/>
                <v:path gradientshapeok="t" o:connecttype="rect"/>
              </v:shapetype>
              <v:shape id="Text Box 1" o:spid="_x0000_s1026" type="#_x0000_t202" style="width:318.05pt;height: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" stroked="f">
                <v:textbox style="mso-fit-shape-to-text:t" inset="0,0,0,0">
                  <w:txbxContent>
                    <w:p w14:paraId="5F8B5A8B" w14:textId="7A8C74B7" w:rsidR="0018091F" w:rsidRPr="00360339" w:rsidRDefault="0018091F" w:rsidP="0018091F">
                      <w:pPr>
                        <w:pStyle w:val="Caption"/>
                        <w:ind w:left="993" w:hanging="993"/>
                      </w:pPr>
                      <w:bookmarkStart w:id="5" w:name="_Ref14171214"/>
                      <w:r>
                        <w:t xml:space="preserve">Figure </w:t>
                      </w:r>
                      <w:bookmarkEnd w:id="5"/>
                      <w:r>
                        <w:t>5:</w:t>
                      </w:r>
                      <w:r>
                        <w:tab/>
                      </w:r>
                      <w:r w:rsidRPr="00360210">
                        <w:t xml:space="preserve">Small cell deployment of square </w:t>
                      </w:r>
                      <w:r>
                        <w:t>with 5 TRPs</w:t>
                      </w:r>
                    </w:p>
                  </w:txbxContent>
                </v:textbox>
                <w10:anchorlock/>
              </v:shape>
            </w:pict>
          </mc:Fallback>
        </mc:AlternateContent>
      </w:r>
    </w:p>
    <w:p w14:paraId="67F6417B" w14:textId="7AF95BB2" w:rsidR="0018091F" w:rsidRPr="006E13D1" w:rsidRDefault="0018091F" w:rsidP="00413416">
      <w:pPr>
        <w:pStyle w:val="Heading2"/>
      </w:pPr>
      <w:r w:rsidRPr="006E13D1">
        <w:t>3</w:t>
      </w:r>
      <w:r>
        <w:t>.2</w:t>
      </w:r>
      <w:r w:rsidRPr="006E13D1">
        <w:tab/>
      </w:r>
      <w:r>
        <w:t>Existing handover measurements fail to escape from interference spot</w:t>
      </w:r>
    </w:p>
    <w:p w14:paraId="6D3AF2A2" w14:textId="77777777" w:rsidR="0018091F" w:rsidRDefault="0018091F" w:rsidP="0018091F">
      <w:r>
        <w:t>As discussed in section 2, the relative A3 measurement event reacts when one neighbour is such dominant that it is, for instance, 3 dB stronger than the serving cell. But here all neighbours are equally strong. Lowering the A3-offset will not help either, since the neighbouring cell faces the same situation and would cause ping-pong situation.</w:t>
      </w:r>
    </w:p>
    <w:p w14:paraId="097B20B9" w14:textId="77777777" w:rsidR="0018091F" w:rsidRDefault="0018091F" w:rsidP="0018091F">
      <w:r>
        <w:t xml:space="preserve">The only way to escape is to change frequency layer or even RA. Those handovers are typically triggered with so-called dual threshold events, where the serving signal should be below threshold_1 and the target cell above threshold_2. </w:t>
      </w:r>
      <w:r>
        <w:lastRenderedPageBreak/>
        <w:t>However, the leaving threshold_1 for more efficient NR technique will be way lower in order to exploit the coverage too. Therefore, also such dual threshold events for interfrequency (i.e. A5) or inter-RAT (i.e. B2) will fail.</w:t>
      </w:r>
    </w:p>
    <w:p w14:paraId="53A31406" w14:textId="259D93E6" w:rsidR="0018091F" w:rsidRDefault="0018091F" w:rsidP="0018091F">
      <w:r>
        <w:t>Using RSRQ instead of RSRP as measurement quantity also fails, since high RSRQ value (&gt;-15 dB), which is the case for the considered scenario, very badly represent the SINR.</w:t>
      </w:r>
    </w:p>
    <w:p w14:paraId="440D5F3B" w14:textId="77777777" w:rsidR="00133A71" w:rsidRDefault="00133A71" w:rsidP="00133A71">
      <w:r>
        <w:t>High dense multi-TRP deployment without cooperation might cause interference spots which cause RLFs like coverage holes. All existing measurement events for handover fail to escape from this interference spot. A new measurement event might be needed which allows an early enough detection of this problem.</w:t>
      </w:r>
    </w:p>
    <w:p w14:paraId="500B334C" w14:textId="6117360C" w:rsidR="00133A71" w:rsidRDefault="00133A71" w:rsidP="00133A71">
      <w:pPr>
        <w:ind w:left="1418" w:hanging="1418"/>
      </w:pPr>
      <w:r>
        <w:rPr>
          <w:b/>
        </w:rPr>
        <w:t>Observation 5</w:t>
      </w:r>
      <w:r w:rsidRPr="005F7EBF">
        <w:rPr>
          <w:b/>
        </w:rPr>
        <w:t>:</w:t>
      </w:r>
      <w:r>
        <w:tab/>
        <w:t>Multi-TRP deployments with beamformed access might cause interference spots resulting from several equally strong beam signals, if they are not cooperatively treated.</w:t>
      </w:r>
    </w:p>
    <w:p w14:paraId="58BBD4C8" w14:textId="47B44113" w:rsidR="00133A71" w:rsidRPr="00F6554F" w:rsidRDefault="00133A71" w:rsidP="00133A71">
      <w:pPr>
        <w:ind w:left="1418" w:hanging="1418"/>
        <w:rPr>
          <w:b/>
        </w:rPr>
      </w:pPr>
      <w:r>
        <w:rPr>
          <w:b/>
        </w:rPr>
        <w:t>Observation 6</w:t>
      </w:r>
      <w:r w:rsidRPr="005F7EBF">
        <w:rPr>
          <w:b/>
        </w:rPr>
        <w:t>:</w:t>
      </w:r>
      <w:r>
        <w:tab/>
      </w:r>
      <w:r w:rsidRPr="00F6554F">
        <w:t>Existing</w:t>
      </w:r>
      <w:r>
        <w:t xml:space="preserve"> handover</w:t>
      </w:r>
      <w:r w:rsidRPr="00F6554F">
        <w:t xml:space="preserve"> measurement events are not able to trigger inter-frequency or inter-RAT handover </w:t>
      </w:r>
      <w:r>
        <w:t>to escape from those</w:t>
      </w:r>
      <w:r w:rsidRPr="00F6554F">
        <w:t xml:space="preserve"> interference spots.</w:t>
      </w:r>
    </w:p>
    <w:p w14:paraId="4AD34C17" w14:textId="7C4FE68E" w:rsidR="00B5482E" w:rsidRDefault="00133A71" w:rsidP="00066525">
      <w:r w:rsidRPr="00F6554F">
        <w:rPr>
          <w:b/>
        </w:rPr>
        <w:t>Proposal</w:t>
      </w:r>
      <w:r w:rsidR="00413416">
        <w:rPr>
          <w:b/>
        </w:rPr>
        <w:t xml:space="preserve"> 5</w:t>
      </w:r>
      <w:r w:rsidRPr="00F6554F">
        <w:rPr>
          <w:b/>
        </w:rPr>
        <w:t>:</w:t>
      </w:r>
      <w:r w:rsidRPr="00F6554F">
        <w:tab/>
        <w:t>New measurement event which masters the specific situation of interference spots without dominate interferer</w:t>
      </w:r>
      <w:r>
        <w:t xml:space="preserve"> might be needed to avoid RLFs and connection losses.</w:t>
      </w:r>
    </w:p>
    <w:p w14:paraId="5FF2457F" w14:textId="11A84A2C" w:rsidR="00A209D6" w:rsidRPr="006E13D1" w:rsidRDefault="00A209D6" w:rsidP="00A209D6">
      <w:pPr>
        <w:pStyle w:val="Heading1"/>
      </w:pPr>
      <w:r w:rsidRPr="006E13D1">
        <w:t>4</w:t>
      </w:r>
      <w:r w:rsidRPr="006E13D1">
        <w:tab/>
      </w:r>
      <w:r w:rsidR="008C3057">
        <w:t>Conclusion</w:t>
      </w:r>
    </w:p>
    <w:p w14:paraId="0E32C6C4" w14:textId="29EE382A" w:rsidR="005576F4" w:rsidRDefault="005576F4" w:rsidP="00A209D6">
      <w:r>
        <w:t xml:space="preserve">In </w:t>
      </w:r>
      <w:r w:rsidR="00133A71">
        <w:t>t</w:t>
      </w:r>
      <w:r>
        <w:t xml:space="preserve">his contribution, we made the following observations and </w:t>
      </w:r>
    </w:p>
    <w:p w14:paraId="0E0CE364" w14:textId="77777777" w:rsidR="00413416" w:rsidRDefault="00413416" w:rsidP="00413416">
      <w:pPr>
        <w:rPr>
          <w:b/>
          <w:bCs/>
        </w:rPr>
      </w:pPr>
      <w:r w:rsidRPr="00066525">
        <w:rPr>
          <w:b/>
          <w:bCs/>
        </w:rPr>
        <w:t xml:space="preserve">Observation 1: </w:t>
      </w:r>
      <w:r w:rsidRPr="00413416">
        <w:t>When M5 measurement is configured via signalling, the configuration is received by gNB-CU from Core network and forwarded to gNB-DU.</w:t>
      </w:r>
    </w:p>
    <w:p w14:paraId="4E74E2E5" w14:textId="77777777" w:rsidR="00413416" w:rsidRDefault="00413416" w:rsidP="00413416">
      <w:pPr>
        <w:rPr>
          <w:b/>
          <w:bCs/>
        </w:rPr>
      </w:pPr>
      <w:r w:rsidRPr="00066525">
        <w:rPr>
          <w:b/>
          <w:bCs/>
        </w:rPr>
        <w:t xml:space="preserve">Observation </w:t>
      </w:r>
      <w:r>
        <w:rPr>
          <w:b/>
          <w:bCs/>
        </w:rPr>
        <w:t>2</w:t>
      </w:r>
      <w:r w:rsidRPr="00066525">
        <w:rPr>
          <w:b/>
          <w:bCs/>
        </w:rPr>
        <w:t xml:space="preserve">: </w:t>
      </w:r>
      <w:r w:rsidRPr="00413416">
        <w:t>When M6 measurement is configured via signalling, the configuration is received by gNB-CU from Core network and forwarded to the relevant other nodes and UE.</w:t>
      </w:r>
    </w:p>
    <w:p w14:paraId="43A89BB5" w14:textId="77777777" w:rsidR="00413416" w:rsidRDefault="00413416" w:rsidP="00413416">
      <w:pPr>
        <w:rPr>
          <w:b/>
          <w:bCs/>
        </w:rPr>
      </w:pPr>
      <w:r w:rsidRPr="00066525">
        <w:rPr>
          <w:b/>
          <w:bCs/>
        </w:rPr>
        <w:t xml:space="preserve">Observation </w:t>
      </w:r>
      <w:r>
        <w:rPr>
          <w:b/>
          <w:bCs/>
        </w:rPr>
        <w:t>3</w:t>
      </w:r>
      <w:r w:rsidRPr="00066525">
        <w:rPr>
          <w:b/>
          <w:bCs/>
        </w:rPr>
        <w:t xml:space="preserve">: </w:t>
      </w:r>
      <w:r w:rsidRPr="00413416">
        <w:t>When M7 measurement is configured via signalling, the configuration is received by gNB-CU from Core network and forwarded to gNB-DU and gNB-CU-UP.</w:t>
      </w:r>
    </w:p>
    <w:p w14:paraId="28A51B8A" w14:textId="77777777" w:rsidR="00413416" w:rsidRPr="00413416" w:rsidRDefault="00413416" w:rsidP="00413416">
      <w:r w:rsidRPr="00413416">
        <w:rPr>
          <w:b/>
          <w:bCs/>
        </w:rPr>
        <w:t xml:space="preserve">Observation 4: </w:t>
      </w:r>
      <w:r>
        <w:t>F</w:t>
      </w:r>
      <w:r w:rsidRPr="00413416">
        <w:t>or M5~7, Management Based MDT, the same process as signalling based is used, but the configuration comes directly to gNB-CU.</w:t>
      </w:r>
    </w:p>
    <w:p w14:paraId="6D5940F8" w14:textId="77777777" w:rsidR="00413416" w:rsidRPr="00463620" w:rsidRDefault="00413416" w:rsidP="00413416">
      <w:pPr>
        <w:rPr>
          <w:b/>
          <w:bCs/>
        </w:rPr>
      </w:pPr>
      <w:r w:rsidRPr="00463620">
        <w:rPr>
          <w:b/>
          <w:bCs/>
        </w:rPr>
        <w:t>Proposal</w:t>
      </w:r>
      <w:r>
        <w:rPr>
          <w:b/>
          <w:bCs/>
        </w:rPr>
        <w:t xml:space="preserve"> 1</w:t>
      </w:r>
      <w:r w:rsidRPr="00463620">
        <w:rPr>
          <w:b/>
          <w:bCs/>
        </w:rPr>
        <w:t xml:space="preserve">: </w:t>
      </w:r>
      <w:r w:rsidRPr="00413416">
        <w:t>For NR Dual connectivity, the relevant nodes are configured in order to provide the measurements to MDT Data Consumer.</w:t>
      </w:r>
    </w:p>
    <w:p w14:paraId="6A37A184" w14:textId="77777777" w:rsidR="00413416" w:rsidRPr="005576F4" w:rsidRDefault="00413416" w:rsidP="00413416">
      <w:pPr>
        <w:rPr>
          <w:b/>
          <w:bCs/>
        </w:rPr>
      </w:pPr>
      <w:r w:rsidRPr="005576F4">
        <w:rPr>
          <w:b/>
          <w:bCs/>
        </w:rPr>
        <w:t>Proposal</w:t>
      </w:r>
      <w:r>
        <w:rPr>
          <w:b/>
          <w:bCs/>
        </w:rPr>
        <w:t xml:space="preserve"> 2</w:t>
      </w:r>
      <w:r w:rsidRPr="005576F4">
        <w:rPr>
          <w:b/>
          <w:bCs/>
        </w:rPr>
        <w:t xml:space="preserve">: </w:t>
      </w:r>
      <w:r w:rsidRPr="00413416">
        <w:t>The basic principle for UE configuration for NR DC is that the measurement for the UE is done by the entity (MN or SN) controlling the PDCP of the DRB that needs to be measured.</w:t>
      </w:r>
    </w:p>
    <w:p w14:paraId="0009BCCE" w14:textId="77777777" w:rsidR="00413416" w:rsidRDefault="00413416" w:rsidP="00413416">
      <w:r w:rsidRPr="00413416">
        <w:rPr>
          <w:b/>
          <w:bCs/>
        </w:rPr>
        <w:t>Proposal 3:</w:t>
      </w:r>
      <w:r>
        <w:t xml:space="preserve"> For Signalling based MDT, in case of Handover with no SN change, SN is de-configured by source MN and re-configured by Target MN</w:t>
      </w:r>
    </w:p>
    <w:p w14:paraId="19C122BC" w14:textId="77777777" w:rsidR="00413416" w:rsidRDefault="00413416" w:rsidP="00413416">
      <w:r w:rsidRPr="00413416">
        <w:rPr>
          <w:b/>
          <w:bCs/>
        </w:rPr>
        <w:t>Proposal</w:t>
      </w:r>
      <w:r>
        <w:rPr>
          <w:b/>
          <w:bCs/>
        </w:rPr>
        <w:t xml:space="preserve"> 4</w:t>
      </w:r>
      <w:r>
        <w:t xml:space="preserve">: Area Scope Configuration of finer granularity should be supported in the MDT Configuration. </w:t>
      </w:r>
    </w:p>
    <w:p w14:paraId="11658356" w14:textId="77777777" w:rsidR="00413416" w:rsidRPr="00413416" w:rsidRDefault="00413416" w:rsidP="00413416">
      <w:r w:rsidRPr="00413416">
        <w:rPr>
          <w:b/>
          <w:bCs/>
        </w:rPr>
        <w:t>Observation 5:</w:t>
      </w:r>
      <w:r w:rsidRPr="00413416">
        <w:rPr>
          <w:b/>
          <w:bCs/>
        </w:rPr>
        <w:tab/>
      </w:r>
      <w:r w:rsidRPr="00413416">
        <w:t>Multi-TRP deployments with beamformed access might cause interference spots resulting from several equally strong beam signals, if they are not cooperatively treated.</w:t>
      </w:r>
    </w:p>
    <w:p w14:paraId="7E6C2B9E" w14:textId="77777777" w:rsidR="00413416" w:rsidRPr="00413416" w:rsidRDefault="00413416" w:rsidP="00413416">
      <w:pPr>
        <w:rPr>
          <w:b/>
          <w:bCs/>
        </w:rPr>
      </w:pPr>
      <w:r w:rsidRPr="00413416">
        <w:rPr>
          <w:b/>
          <w:bCs/>
        </w:rPr>
        <w:t>Observation 6:</w:t>
      </w:r>
      <w:r w:rsidRPr="00413416">
        <w:rPr>
          <w:b/>
          <w:bCs/>
        </w:rPr>
        <w:tab/>
      </w:r>
      <w:r w:rsidRPr="00413416">
        <w:t>Existing handover measurement events are not able to trigger inter-frequency or inter-RAT handover to escape from those interference spots.</w:t>
      </w:r>
    </w:p>
    <w:p w14:paraId="16D24124" w14:textId="77777777" w:rsidR="00413416" w:rsidRDefault="00413416" w:rsidP="00413416">
      <w:r w:rsidRPr="00F6554F">
        <w:rPr>
          <w:b/>
        </w:rPr>
        <w:t>Proposal</w:t>
      </w:r>
      <w:r>
        <w:rPr>
          <w:b/>
        </w:rPr>
        <w:t xml:space="preserve"> 5</w:t>
      </w:r>
      <w:r w:rsidRPr="00F6554F">
        <w:rPr>
          <w:b/>
        </w:rPr>
        <w:t>:</w:t>
      </w:r>
      <w:r w:rsidRPr="00F6554F">
        <w:tab/>
        <w:t>New measurement event which masters the specific situation of interference spots without dominate interferer</w:t>
      </w:r>
      <w:r>
        <w:t xml:space="preserve"> might be needed to avoid RLFs and connection losses.</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B59D340" w16cex:dateUtc="2020-10-06T11:35:00Z"/>
  <w16cex:commentExtensible w16cex:durableId="5A620744" w16cex:dateUtc="2020-10-06T12:19:00Z"/>
  <w16cex:commentExtensible w16cex:durableId="33E558A2" w16cex:dateUtc="2020-10-06T13:36:00Z"/>
  <w16cex:commentExtensible w16cex:durableId="6CB0B2AF" w16cex:dateUtc="2020-10-06T11:36:00Z"/>
  <w16cex:commentExtensible w16cex:durableId="3A52822D" w16cex:dateUtc="2020-10-06T11:40:00Z"/>
  <w16cex:commentExtensible w16cex:durableId="24CFBB21" w16cex:dateUtc="2020-10-22T08:45:18.31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7014B" w14:textId="77777777" w:rsidR="00C12454" w:rsidRDefault="00C12454">
      <w:r>
        <w:separator/>
      </w:r>
    </w:p>
  </w:endnote>
  <w:endnote w:type="continuationSeparator" w:id="0">
    <w:p w14:paraId="6A999F14" w14:textId="77777777" w:rsidR="00C12454" w:rsidRDefault="00C12454">
      <w:r>
        <w:continuationSeparator/>
      </w:r>
    </w:p>
  </w:endnote>
  <w:endnote w:type="continuationNotice" w:id="1">
    <w:p w14:paraId="0A3A1044" w14:textId="77777777" w:rsidR="00C12454" w:rsidRDefault="00C12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37E10" w:rsidRDefault="00137E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37E10" w:rsidRDefault="00137E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37E10" w:rsidRDefault="00137E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86CD0" w14:textId="77777777" w:rsidR="00C12454" w:rsidRDefault="00C12454">
      <w:r>
        <w:separator/>
      </w:r>
    </w:p>
  </w:footnote>
  <w:footnote w:type="continuationSeparator" w:id="0">
    <w:p w14:paraId="714B43C8" w14:textId="77777777" w:rsidR="00C12454" w:rsidRDefault="00C12454">
      <w:r>
        <w:continuationSeparator/>
      </w:r>
    </w:p>
  </w:footnote>
  <w:footnote w:type="continuationNotice" w:id="1">
    <w:p w14:paraId="57E14E04" w14:textId="77777777" w:rsidR="00C12454" w:rsidRDefault="00C12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37E10" w:rsidRDefault="00137E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37E10" w:rsidRDefault="00137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37E10" w:rsidRDefault="00137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752"/>
    <w:rsid w:val="00016557"/>
    <w:rsid w:val="00023C40"/>
    <w:rsid w:val="00033397"/>
    <w:rsid w:val="00040095"/>
    <w:rsid w:val="00066525"/>
    <w:rsid w:val="00073C9C"/>
    <w:rsid w:val="00080512"/>
    <w:rsid w:val="00090468"/>
    <w:rsid w:val="00094568"/>
    <w:rsid w:val="00094CA7"/>
    <w:rsid w:val="000B7BCF"/>
    <w:rsid w:val="000C0955"/>
    <w:rsid w:val="000C522B"/>
    <w:rsid w:val="000D047C"/>
    <w:rsid w:val="000D3461"/>
    <w:rsid w:val="000D38D9"/>
    <w:rsid w:val="000D58AB"/>
    <w:rsid w:val="000E4AC4"/>
    <w:rsid w:val="00112F1A"/>
    <w:rsid w:val="00114594"/>
    <w:rsid w:val="00133A71"/>
    <w:rsid w:val="00137E10"/>
    <w:rsid w:val="00145075"/>
    <w:rsid w:val="0016456A"/>
    <w:rsid w:val="00171A06"/>
    <w:rsid w:val="001738FE"/>
    <w:rsid w:val="001741A0"/>
    <w:rsid w:val="00175FA0"/>
    <w:rsid w:val="0018091F"/>
    <w:rsid w:val="00182A84"/>
    <w:rsid w:val="00192768"/>
    <w:rsid w:val="00194CD0"/>
    <w:rsid w:val="00196DF2"/>
    <w:rsid w:val="001A3562"/>
    <w:rsid w:val="001B49C9"/>
    <w:rsid w:val="001C23F4"/>
    <w:rsid w:val="001C4F79"/>
    <w:rsid w:val="001C5477"/>
    <w:rsid w:val="001D04E9"/>
    <w:rsid w:val="001E287A"/>
    <w:rsid w:val="001F168B"/>
    <w:rsid w:val="001F348F"/>
    <w:rsid w:val="001F7831"/>
    <w:rsid w:val="00204045"/>
    <w:rsid w:val="0020712B"/>
    <w:rsid w:val="0022606D"/>
    <w:rsid w:val="00231728"/>
    <w:rsid w:val="002415D1"/>
    <w:rsid w:val="00244A05"/>
    <w:rsid w:val="00250404"/>
    <w:rsid w:val="002610D8"/>
    <w:rsid w:val="002612F5"/>
    <w:rsid w:val="002747EC"/>
    <w:rsid w:val="002855BF"/>
    <w:rsid w:val="00294750"/>
    <w:rsid w:val="002C765A"/>
    <w:rsid w:val="002F0D22"/>
    <w:rsid w:val="002F2306"/>
    <w:rsid w:val="00311B17"/>
    <w:rsid w:val="003169EF"/>
    <w:rsid w:val="003172DC"/>
    <w:rsid w:val="003173E5"/>
    <w:rsid w:val="00325AE3"/>
    <w:rsid w:val="00326069"/>
    <w:rsid w:val="003367B3"/>
    <w:rsid w:val="003378F0"/>
    <w:rsid w:val="0034374C"/>
    <w:rsid w:val="00347AC0"/>
    <w:rsid w:val="0035462D"/>
    <w:rsid w:val="00357A37"/>
    <w:rsid w:val="00361E8A"/>
    <w:rsid w:val="0036459E"/>
    <w:rsid w:val="00364B41"/>
    <w:rsid w:val="00383096"/>
    <w:rsid w:val="0039346C"/>
    <w:rsid w:val="003A0253"/>
    <w:rsid w:val="003A41EF"/>
    <w:rsid w:val="003B40AD"/>
    <w:rsid w:val="003C0F33"/>
    <w:rsid w:val="003C2043"/>
    <w:rsid w:val="003C4E37"/>
    <w:rsid w:val="003E16BE"/>
    <w:rsid w:val="003F4E28"/>
    <w:rsid w:val="004006E8"/>
    <w:rsid w:val="00401855"/>
    <w:rsid w:val="00411CD8"/>
    <w:rsid w:val="00413416"/>
    <w:rsid w:val="00457A1E"/>
    <w:rsid w:val="00462261"/>
    <w:rsid w:val="00463620"/>
    <w:rsid w:val="00465587"/>
    <w:rsid w:val="00473FE5"/>
    <w:rsid w:val="00477455"/>
    <w:rsid w:val="004776E8"/>
    <w:rsid w:val="00480095"/>
    <w:rsid w:val="004A1F7B"/>
    <w:rsid w:val="004A426A"/>
    <w:rsid w:val="004B2B0D"/>
    <w:rsid w:val="004C44D2"/>
    <w:rsid w:val="004C6534"/>
    <w:rsid w:val="004D3578"/>
    <w:rsid w:val="004D380D"/>
    <w:rsid w:val="004E213A"/>
    <w:rsid w:val="00503171"/>
    <w:rsid w:val="00506C28"/>
    <w:rsid w:val="00534DA0"/>
    <w:rsid w:val="00543E6C"/>
    <w:rsid w:val="00544504"/>
    <w:rsid w:val="00555C8A"/>
    <w:rsid w:val="005576F4"/>
    <w:rsid w:val="00565087"/>
    <w:rsid w:val="005655B7"/>
    <w:rsid w:val="0056573F"/>
    <w:rsid w:val="00571279"/>
    <w:rsid w:val="005A49C6"/>
    <w:rsid w:val="005E1188"/>
    <w:rsid w:val="005E3A25"/>
    <w:rsid w:val="005F728D"/>
    <w:rsid w:val="00611566"/>
    <w:rsid w:val="00646D99"/>
    <w:rsid w:val="00656910"/>
    <w:rsid w:val="006574C0"/>
    <w:rsid w:val="00666C57"/>
    <w:rsid w:val="00667ECF"/>
    <w:rsid w:val="00696821"/>
    <w:rsid w:val="006B64ED"/>
    <w:rsid w:val="006C268A"/>
    <w:rsid w:val="006C66D8"/>
    <w:rsid w:val="006D1E24"/>
    <w:rsid w:val="006D35DE"/>
    <w:rsid w:val="006E1417"/>
    <w:rsid w:val="006F6A2C"/>
    <w:rsid w:val="007069DC"/>
    <w:rsid w:val="00710201"/>
    <w:rsid w:val="0072073A"/>
    <w:rsid w:val="00721160"/>
    <w:rsid w:val="007313AC"/>
    <w:rsid w:val="007342B5"/>
    <w:rsid w:val="00734A5B"/>
    <w:rsid w:val="00744E76"/>
    <w:rsid w:val="00746F4A"/>
    <w:rsid w:val="00757D40"/>
    <w:rsid w:val="00761F83"/>
    <w:rsid w:val="007623B7"/>
    <w:rsid w:val="00765A30"/>
    <w:rsid w:val="007662B5"/>
    <w:rsid w:val="00781F0F"/>
    <w:rsid w:val="0078727C"/>
    <w:rsid w:val="0079049D"/>
    <w:rsid w:val="0079393A"/>
    <w:rsid w:val="00793DC5"/>
    <w:rsid w:val="007B18D8"/>
    <w:rsid w:val="007C095F"/>
    <w:rsid w:val="007C2DD0"/>
    <w:rsid w:val="007C5DA0"/>
    <w:rsid w:val="007F2E08"/>
    <w:rsid w:val="0080207B"/>
    <w:rsid w:val="008028A4"/>
    <w:rsid w:val="00813245"/>
    <w:rsid w:val="00821D05"/>
    <w:rsid w:val="00824FD1"/>
    <w:rsid w:val="00834881"/>
    <w:rsid w:val="00840DE0"/>
    <w:rsid w:val="0085359A"/>
    <w:rsid w:val="0086354A"/>
    <w:rsid w:val="008768CA"/>
    <w:rsid w:val="00877EF9"/>
    <w:rsid w:val="00880559"/>
    <w:rsid w:val="00883B85"/>
    <w:rsid w:val="008B5306"/>
    <w:rsid w:val="008C2E2A"/>
    <w:rsid w:val="008C3057"/>
    <w:rsid w:val="008D2E4D"/>
    <w:rsid w:val="008F396F"/>
    <w:rsid w:val="008F3DCD"/>
    <w:rsid w:val="0090271F"/>
    <w:rsid w:val="00902DB9"/>
    <w:rsid w:val="0090466A"/>
    <w:rsid w:val="00923655"/>
    <w:rsid w:val="009330C9"/>
    <w:rsid w:val="00936071"/>
    <w:rsid w:val="009376CD"/>
    <w:rsid w:val="00940212"/>
    <w:rsid w:val="00942EC2"/>
    <w:rsid w:val="00961B32"/>
    <w:rsid w:val="00962509"/>
    <w:rsid w:val="00970DB3"/>
    <w:rsid w:val="00974BB0"/>
    <w:rsid w:val="00975BCD"/>
    <w:rsid w:val="009928A9"/>
    <w:rsid w:val="00993666"/>
    <w:rsid w:val="009A0AF3"/>
    <w:rsid w:val="009A3082"/>
    <w:rsid w:val="009B07CD"/>
    <w:rsid w:val="009B577C"/>
    <w:rsid w:val="009C19E9"/>
    <w:rsid w:val="009D74A6"/>
    <w:rsid w:val="009E0E87"/>
    <w:rsid w:val="00A10F02"/>
    <w:rsid w:val="00A204CA"/>
    <w:rsid w:val="00A209D6"/>
    <w:rsid w:val="00A22738"/>
    <w:rsid w:val="00A337D2"/>
    <w:rsid w:val="00A35EDA"/>
    <w:rsid w:val="00A43BCB"/>
    <w:rsid w:val="00A51D48"/>
    <w:rsid w:val="00A53724"/>
    <w:rsid w:val="00A54B2B"/>
    <w:rsid w:val="00A82346"/>
    <w:rsid w:val="00A8343C"/>
    <w:rsid w:val="00A9671C"/>
    <w:rsid w:val="00AA1553"/>
    <w:rsid w:val="00AA3D88"/>
    <w:rsid w:val="00AA661F"/>
    <w:rsid w:val="00AB4B34"/>
    <w:rsid w:val="00AC6A7F"/>
    <w:rsid w:val="00AF441B"/>
    <w:rsid w:val="00B05380"/>
    <w:rsid w:val="00B05962"/>
    <w:rsid w:val="00B10BBB"/>
    <w:rsid w:val="00B15449"/>
    <w:rsid w:val="00B16C2F"/>
    <w:rsid w:val="00B23158"/>
    <w:rsid w:val="00B27303"/>
    <w:rsid w:val="00B315B8"/>
    <w:rsid w:val="00B472E6"/>
    <w:rsid w:val="00B47FD1"/>
    <w:rsid w:val="00B516BB"/>
    <w:rsid w:val="00B5482E"/>
    <w:rsid w:val="00B7330B"/>
    <w:rsid w:val="00B84DB2"/>
    <w:rsid w:val="00BA679B"/>
    <w:rsid w:val="00BC3555"/>
    <w:rsid w:val="00BF3DD1"/>
    <w:rsid w:val="00C01DAC"/>
    <w:rsid w:val="00C111C0"/>
    <w:rsid w:val="00C11293"/>
    <w:rsid w:val="00C12454"/>
    <w:rsid w:val="00C12B51"/>
    <w:rsid w:val="00C2033E"/>
    <w:rsid w:val="00C24650"/>
    <w:rsid w:val="00C25465"/>
    <w:rsid w:val="00C33079"/>
    <w:rsid w:val="00C3700F"/>
    <w:rsid w:val="00C469CE"/>
    <w:rsid w:val="00C6553E"/>
    <w:rsid w:val="00C83A13"/>
    <w:rsid w:val="00C9068C"/>
    <w:rsid w:val="00C90F0A"/>
    <w:rsid w:val="00C92967"/>
    <w:rsid w:val="00CA3D0C"/>
    <w:rsid w:val="00CA654B"/>
    <w:rsid w:val="00CB593F"/>
    <w:rsid w:val="00CB72B8"/>
    <w:rsid w:val="00CD3256"/>
    <w:rsid w:val="00CD4C7B"/>
    <w:rsid w:val="00CD58FE"/>
    <w:rsid w:val="00CE51F6"/>
    <w:rsid w:val="00CF0CDE"/>
    <w:rsid w:val="00D33BE3"/>
    <w:rsid w:val="00D3792D"/>
    <w:rsid w:val="00D450FB"/>
    <w:rsid w:val="00D55E47"/>
    <w:rsid w:val="00D60B83"/>
    <w:rsid w:val="00D62E19"/>
    <w:rsid w:val="00D63AB7"/>
    <w:rsid w:val="00D67CD1"/>
    <w:rsid w:val="00D738D6"/>
    <w:rsid w:val="00D80795"/>
    <w:rsid w:val="00D854BE"/>
    <w:rsid w:val="00D85EC6"/>
    <w:rsid w:val="00D87E00"/>
    <w:rsid w:val="00D9134D"/>
    <w:rsid w:val="00D96D11"/>
    <w:rsid w:val="00DA369E"/>
    <w:rsid w:val="00DA7A03"/>
    <w:rsid w:val="00DB0DB8"/>
    <w:rsid w:val="00DB1818"/>
    <w:rsid w:val="00DC309B"/>
    <w:rsid w:val="00DC4DA2"/>
    <w:rsid w:val="00DC5261"/>
    <w:rsid w:val="00DE25D2"/>
    <w:rsid w:val="00DE455F"/>
    <w:rsid w:val="00E05689"/>
    <w:rsid w:val="00E17DBA"/>
    <w:rsid w:val="00E2747F"/>
    <w:rsid w:val="00E46C08"/>
    <w:rsid w:val="00E471CF"/>
    <w:rsid w:val="00E50359"/>
    <w:rsid w:val="00E62835"/>
    <w:rsid w:val="00E77645"/>
    <w:rsid w:val="00E81024"/>
    <w:rsid w:val="00E83697"/>
    <w:rsid w:val="00E968DF"/>
    <w:rsid w:val="00EA34D4"/>
    <w:rsid w:val="00EA3AA0"/>
    <w:rsid w:val="00EA4F2C"/>
    <w:rsid w:val="00EA66C9"/>
    <w:rsid w:val="00EB2FC3"/>
    <w:rsid w:val="00EC4A25"/>
    <w:rsid w:val="00EF612C"/>
    <w:rsid w:val="00F025A2"/>
    <w:rsid w:val="00F036E9"/>
    <w:rsid w:val="00F07388"/>
    <w:rsid w:val="00F166FE"/>
    <w:rsid w:val="00F2026E"/>
    <w:rsid w:val="00F2210A"/>
    <w:rsid w:val="00F254C4"/>
    <w:rsid w:val="00F37743"/>
    <w:rsid w:val="00F50A4F"/>
    <w:rsid w:val="00F54A3D"/>
    <w:rsid w:val="00F54CB0"/>
    <w:rsid w:val="00F568D2"/>
    <w:rsid w:val="00F579CD"/>
    <w:rsid w:val="00F653B8"/>
    <w:rsid w:val="00F71B89"/>
    <w:rsid w:val="00F72D9B"/>
    <w:rsid w:val="00F7353C"/>
    <w:rsid w:val="00F76F8F"/>
    <w:rsid w:val="00F93FB4"/>
    <w:rsid w:val="00F941DF"/>
    <w:rsid w:val="00F96C0A"/>
    <w:rsid w:val="00FA0F6E"/>
    <w:rsid w:val="00FA1266"/>
    <w:rsid w:val="00FB36FA"/>
    <w:rsid w:val="00FC1192"/>
    <w:rsid w:val="00FC6519"/>
    <w:rsid w:val="00FE251B"/>
    <w:rsid w:val="1B9534D3"/>
    <w:rsid w:val="1DE27658"/>
    <w:rsid w:val="28984368"/>
    <w:rsid w:val="3211FA5A"/>
    <w:rsid w:val="37A5F65E"/>
    <w:rsid w:val="394E52DC"/>
    <w:rsid w:val="3B25D32E"/>
    <w:rsid w:val="4595C556"/>
    <w:rsid w:val="4AC7F09F"/>
    <w:rsid w:val="4C41AB41"/>
    <w:rsid w:val="4E60D2AE"/>
    <w:rsid w:val="56A8B43C"/>
    <w:rsid w:val="5B98D2DA"/>
    <w:rsid w:val="66236770"/>
    <w:rsid w:val="7E2D18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59BB10C-CEC1-43A3-9464-D7E087BD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85EC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347AC0"/>
    <w:rPr>
      <w:lang w:eastAsia="en-US"/>
    </w:rPr>
  </w:style>
  <w:style w:type="table" w:styleId="TableGrid">
    <w:name w:val="Table Grid"/>
    <w:basedOn w:val="TableNormal"/>
    <w:rsid w:val="00347A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66525"/>
    <w:rPr>
      <w:color w:val="954F72" w:themeColor="followedHyperlink"/>
      <w:u w:val="single"/>
    </w:rPr>
  </w:style>
  <w:style w:type="character" w:customStyle="1" w:styleId="Heading2Char">
    <w:name w:val="Heading 2 Char"/>
    <w:basedOn w:val="DefaultParagraphFont"/>
    <w:link w:val="Heading2"/>
    <w:rsid w:val="009B577C"/>
    <w:rPr>
      <w:rFonts w:ascii="Arial" w:hAnsi="Arial"/>
      <w:sz w:val="32"/>
      <w:lang w:eastAsia="en-US"/>
    </w:rPr>
  </w:style>
  <w:style w:type="character" w:customStyle="1" w:styleId="Heading3Char">
    <w:name w:val="Heading 3 Char"/>
    <w:basedOn w:val="DefaultParagraphFont"/>
    <w:link w:val="Heading3"/>
    <w:rsid w:val="00357A37"/>
    <w:rPr>
      <w:rFonts w:ascii="Arial" w:hAnsi="Arial"/>
      <w:sz w:val="28"/>
      <w:lang w:eastAsia="en-US"/>
    </w:rPr>
  </w:style>
  <w:style w:type="character" w:styleId="CommentReference">
    <w:name w:val="annotation reference"/>
    <w:basedOn w:val="DefaultParagraphFont"/>
    <w:rsid w:val="00192768"/>
    <w:rPr>
      <w:sz w:val="16"/>
      <w:szCs w:val="16"/>
    </w:rPr>
  </w:style>
  <w:style w:type="paragraph" w:styleId="CommentText">
    <w:name w:val="annotation text"/>
    <w:basedOn w:val="Normal"/>
    <w:link w:val="CommentTextChar"/>
    <w:rsid w:val="00192768"/>
  </w:style>
  <w:style w:type="character" w:customStyle="1" w:styleId="CommentTextChar">
    <w:name w:val="Comment Text Char"/>
    <w:basedOn w:val="DefaultParagraphFont"/>
    <w:link w:val="CommentText"/>
    <w:rsid w:val="00192768"/>
    <w:rPr>
      <w:lang w:eastAsia="en-US"/>
    </w:rPr>
  </w:style>
  <w:style w:type="paragraph" w:styleId="CommentSubject">
    <w:name w:val="annotation subject"/>
    <w:basedOn w:val="CommentText"/>
    <w:next w:val="CommentText"/>
    <w:link w:val="CommentSubjectChar"/>
    <w:rsid w:val="00192768"/>
    <w:rPr>
      <w:b/>
      <w:bCs/>
    </w:rPr>
  </w:style>
  <w:style w:type="character" w:customStyle="1" w:styleId="CommentSubjectChar">
    <w:name w:val="Comment Subject Char"/>
    <w:basedOn w:val="CommentTextChar"/>
    <w:link w:val="CommentSubject"/>
    <w:rsid w:val="00192768"/>
    <w:rPr>
      <w:b/>
      <w:bCs/>
      <w:lang w:eastAsia="en-US"/>
    </w:rPr>
  </w:style>
  <w:style w:type="paragraph" w:styleId="Caption">
    <w:name w:val="caption"/>
    <w:basedOn w:val="Normal"/>
    <w:next w:val="Normal"/>
    <w:unhideWhenUsed/>
    <w:qFormat/>
    <w:rsid w:val="00A43BCB"/>
    <w:pPr>
      <w:spacing w:after="200"/>
    </w:pPr>
    <w:rPr>
      <w:i/>
      <w:iCs/>
      <w:color w:val="44546A" w:themeColor="text2"/>
      <w:sz w:val="18"/>
      <w:szCs w:val="18"/>
    </w:rPr>
  </w:style>
  <w:style w:type="character" w:customStyle="1" w:styleId="NOChar">
    <w:name w:val="NO Char"/>
    <w:link w:val="NO"/>
    <w:rsid w:val="00AA3D88"/>
    <w:rPr>
      <w:lang w:eastAsia="en-US"/>
    </w:rPr>
  </w:style>
  <w:style w:type="paragraph" w:styleId="Revision">
    <w:name w:val="Revision"/>
    <w:hidden/>
    <w:uiPriority w:val="99"/>
    <w:semiHidden/>
    <w:rsid w:val="00883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28633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ran/WG2_RL2/TSGR2_111-e/Docs/R2-2007667.zip" TargetMode="External"/><Relationship Id="rId17" Type="http://schemas.openxmlformats.org/officeDocument/2006/relationships/image" Target="media/image3.emf"/><Relationship Id="rId25"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5AIRPNAIUNRU-1774131100-1625</_dlc_DocId>
    <_dlc_DocIdUrl xmlns="71c5aaf6-e6ce-465b-b873-5148d2a4c105">
      <Url>https://nokia.sharepoint.com/sites/c5g/projects/nas/_layouts/15/DocIdRedir.aspx?ID=5AIRPNAIUNRU-1774131100-1625</Url>
      <Description>5AIRPNAIUNRU-1774131100-1625</Description>
    </_dlc_DocIdUrl>
    <_Flow_SignoffStatus xmlns="6d0092ff-228e-48cb-9ef6-dbafe0d3bd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FAB0986-89B8-40D6-997D-C28E78B91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2061</Words>
  <Characters>11956</Characters>
  <Application>Microsoft Office Word</Application>
  <DocSecurity>0</DocSecurity>
  <Lines>254</Lines>
  <Paragraphs>226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3</cp:revision>
  <dcterms:created xsi:type="dcterms:W3CDTF">2020-10-22T22:15:00Z</dcterms:created>
  <dcterms:modified xsi:type="dcterms:W3CDTF">2020-10-22T22:22:00Z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2e6aee43-e2c0-4fdc-89cd-9e78a8587651</vt:lpwstr>
  </property>
</Properties>
</file>